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12818" w:rsidRPr="00F1664D" w14:paraId="1E17431D"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690F03C5" w14:textId="4D7B5CDB" w:rsidR="00712818" w:rsidRPr="00853E69" w:rsidRDefault="00712818" w:rsidP="0061014A">
            <w:pPr>
              <w:spacing w:line="360" w:lineRule="auto"/>
              <w:jc w:val="center"/>
              <w:rPr>
                <w:rFonts w:cs="Arial"/>
                <w:b/>
                <w:sz w:val="48"/>
                <w:szCs w:val="48"/>
              </w:rPr>
            </w:pPr>
            <w:r w:rsidRPr="00853E69">
              <w:rPr>
                <w:rFonts w:cs="Arial"/>
                <w:b/>
                <w:sz w:val="48"/>
                <w:szCs w:val="48"/>
              </w:rPr>
              <w:t xml:space="preserve">Anlage </w:t>
            </w:r>
            <w:r>
              <w:rPr>
                <w:rFonts w:cs="Arial"/>
                <w:b/>
                <w:sz w:val="48"/>
                <w:szCs w:val="48"/>
              </w:rPr>
              <w:t>1</w:t>
            </w:r>
            <w:r w:rsidR="001F0DEC">
              <w:rPr>
                <w:rFonts w:cs="Arial"/>
                <w:b/>
                <w:sz w:val="48"/>
                <w:szCs w:val="48"/>
              </w:rPr>
              <w:t>b</w:t>
            </w:r>
            <w:r w:rsidRPr="00853E69">
              <w:rPr>
                <w:rFonts w:cs="Arial"/>
                <w:b/>
                <w:sz w:val="48"/>
                <w:szCs w:val="48"/>
              </w:rPr>
              <w:t xml:space="preserve"> zum Vertrag</w:t>
            </w:r>
          </w:p>
          <w:p w14:paraId="00109847" w14:textId="13113D3A" w:rsidR="00712818" w:rsidRPr="0005479E" w:rsidRDefault="00712818" w:rsidP="0061014A">
            <w:pPr>
              <w:tabs>
                <w:tab w:val="left" w:pos="5670"/>
              </w:tabs>
              <w:jc w:val="center"/>
              <w:rPr>
                <w:rFonts w:cs="Arial"/>
                <w:b/>
              </w:rPr>
            </w:pPr>
            <w:r w:rsidRPr="00F1664D">
              <w:rPr>
                <w:rFonts w:cs="Arial"/>
                <w:b/>
              </w:rPr>
              <w:t xml:space="preserve">nach DE-UZ </w:t>
            </w:r>
            <w:r w:rsidR="005925AF">
              <w:rPr>
                <w:rFonts w:cs="Arial"/>
                <w:b/>
              </w:rPr>
              <w:t>65</w:t>
            </w:r>
            <w:r>
              <w:rPr>
                <w:rFonts w:cs="Arial"/>
                <w:b/>
              </w:rPr>
              <w:br/>
            </w:r>
            <w:r>
              <w:rPr>
                <w:rFonts w:cs="Arial"/>
                <w:b/>
              </w:rPr>
              <w:br/>
              <w:t xml:space="preserve">DIESE </w:t>
            </w:r>
            <w:r w:rsidR="00EB661D">
              <w:rPr>
                <w:rFonts w:cs="Arial"/>
                <w:b/>
              </w:rPr>
              <w:t xml:space="preserve">Konformitätserklärung </w:t>
            </w:r>
            <w:r>
              <w:rPr>
                <w:rFonts w:cs="Arial"/>
                <w:b/>
              </w:rPr>
              <w:t>GILT FÜR: Antragsteller</w:t>
            </w:r>
          </w:p>
        </w:tc>
        <w:tc>
          <w:tcPr>
            <w:tcW w:w="1701" w:type="dxa"/>
            <w:tcBorders>
              <w:top w:val="single" w:sz="4" w:space="0" w:color="auto"/>
              <w:left w:val="single" w:sz="4" w:space="0" w:color="auto"/>
              <w:bottom w:val="single" w:sz="4" w:space="0" w:color="auto"/>
              <w:right w:val="single" w:sz="4" w:space="0" w:color="auto"/>
            </w:tcBorders>
            <w:vAlign w:val="center"/>
          </w:tcPr>
          <w:p w14:paraId="17AE8B00" w14:textId="77777777" w:rsidR="00712818" w:rsidRPr="00F1664D" w:rsidRDefault="00712818" w:rsidP="0061014A">
            <w:pPr>
              <w:tabs>
                <w:tab w:val="left" w:pos="5670"/>
              </w:tabs>
              <w:spacing w:before="120" w:line="360" w:lineRule="auto"/>
              <w:ind w:left="74" w:right="74"/>
              <w:jc w:val="center"/>
              <w:rPr>
                <w:rFonts w:cs="Arial"/>
              </w:rPr>
            </w:pPr>
            <w:r w:rsidRPr="00F1664D">
              <w:rPr>
                <w:rFonts w:cs="Arial"/>
                <w:b/>
              </w:rPr>
              <w:t>Bitte nur dieses Formular verwenden!</w:t>
            </w:r>
          </w:p>
        </w:tc>
      </w:tr>
    </w:tbl>
    <w:p w14:paraId="7D7674EF" w14:textId="77777777" w:rsidR="003D666E" w:rsidRPr="00F1664D" w:rsidRDefault="003D666E" w:rsidP="003D666E">
      <w:pPr>
        <w:tabs>
          <w:tab w:val="left" w:pos="5670"/>
        </w:tabs>
        <w:rPr>
          <w:rFonts w:cs="Arial"/>
        </w:rPr>
      </w:pPr>
    </w:p>
    <w:p w14:paraId="4470F4CD" w14:textId="32435353" w:rsidR="003D666E" w:rsidRPr="00F1664D" w:rsidRDefault="003D666E" w:rsidP="003D666E">
      <w:pPr>
        <w:tabs>
          <w:tab w:val="left" w:pos="5670"/>
        </w:tabs>
        <w:rPr>
          <w:rFonts w:cs="Arial"/>
          <w:b/>
        </w:rPr>
      </w:pPr>
      <w:r w:rsidRPr="00F1664D">
        <w:rPr>
          <w:rFonts w:cs="Arial"/>
          <w:b/>
        </w:rPr>
        <w:t>Umweltzeichen für "</w:t>
      </w:r>
      <w:r w:rsidR="00072572" w:rsidRPr="00072572">
        <w:t xml:space="preserve"> </w:t>
      </w:r>
      <w:r w:rsidR="005925AF" w:rsidRPr="005925AF">
        <w:rPr>
          <w:b/>
          <w:bCs/>
        </w:rPr>
        <w:t>Koch- u.</w:t>
      </w:r>
      <w:r w:rsidR="005925AF">
        <w:t xml:space="preserve"> </w:t>
      </w:r>
      <w:r w:rsidR="005925AF">
        <w:rPr>
          <w:b/>
        </w:rPr>
        <w:t>Heißfilterpapiere</w:t>
      </w:r>
      <w:r w:rsidR="007006CF">
        <w:rPr>
          <w:b/>
        </w:rPr>
        <w:t xml:space="preserve"> und Backpapiere</w:t>
      </w:r>
      <w:r w:rsidRPr="00F1664D">
        <w:rPr>
          <w:rFonts w:cs="Arial"/>
          <w:b/>
        </w:rPr>
        <w:t>"</w:t>
      </w:r>
    </w:p>
    <w:p w14:paraId="3C6C3F9A" w14:textId="77777777" w:rsidR="003D666E" w:rsidRPr="00F1664D" w:rsidRDefault="003D666E" w:rsidP="003D666E">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3D666E" w:rsidRPr="00F1664D" w14:paraId="14226937" w14:textId="77777777" w:rsidTr="00500850">
        <w:trPr>
          <w:trHeight w:hRule="exact" w:val="814"/>
        </w:trPr>
        <w:tc>
          <w:tcPr>
            <w:tcW w:w="4362" w:type="dxa"/>
            <w:shd w:val="clear" w:color="auto" w:fill="auto"/>
          </w:tcPr>
          <w:p w14:paraId="1FD0DCB3" w14:textId="77777777" w:rsidR="003D666E" w:rsidRPr="00F1664D" w:rsidRDefault="003D666E" w:rsidP="00500850">
            <w:pPr>
              <w:spacing w:before="20" w:after="20"/>
              <w:rPr>
                <w:rFonts w:cs="Arial"/>
                <w:b/>
              </w:rPr>
            </w:pPr>
            <w:r>
              <w:rPr>
                <w:rFonts w:cs="Arial"/>
                <w:b/>
              </w:rPr>
              <w:t>Antragsteller</w:t>
            </w:r>
            <w:r w:rsidRPr="00F1664D">
              <w:rPr>
                <w:rFonts w:cs="Arial"/>
                <w:b/>
              </w:rPr>
              <w:t>:</w:t>
            </w:r>
          </w:p>
          <w:p w14:paraId="2AAF8C21" w14:textId="77777777" w:rsidR="003D666E" w:rsidRPr="00F1664D" w:rsidRDefault="003D666E" w:rsidP="00500850">
            <w:pPr>
              <w:spacing w:before="20" w:after="20"/>
              <w:rPr>
                <w:rFonts w:cs="Arial"/>
                <w:sz w:val="18"/>
                <w:szCs w:val="18"/>
              </w:rPr>
            </w:pPr>
            <w:r w:rsidRPr="00F1664D">
              <w:rPr>
                <w:rFonts w:cs="Arial"/>
                <w:sz w:val="18"/>
                <w:szCs w:val="18"/>
              </w:rPr>
              <w:t>(vollständige Anschrift)</w:t>
            </w:r>
          </w:p>
        </w:tc>
        <w:tc>
          <w:tcPr>
            <w:tcW w:w="5386" w:type="dxa"/>
            <w:shd w:val="clear" w:color="auto" w:fill="auto"/>
          </w:tcPr>
          <w:p w14:paraId="2B9FA44F" w14:textId="77777777" w:rsidR="003D666E" w:rsidRDefault="003D666E" w:rsidP="00500850">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14:paraId="266F27C5" w14:textId="77777777" w:rsidR="003D666E" w:rsidRDefault="003D666E" w:rsidP="00500850">
            <w:pPr>
              <w:spacing w:before="20" w:after="20"/>
              <w:rPr>
                <w:rFonts w:cs="Arial"/>
                <w:b/>
              </w:rPr>
            </w:pPr>
          </w:p>
          <w:p w14:paraId="11556578" w14:textId="77777777" w:rsidR="003D666E" w:rsidRPr="00F1664D" w:rsidRDefault="003D666E" w:rsidP="00500850">
            <w:pPr>
              <w:spacing w:before="20" w:after="20"/>
              <w:rPr>
                <w:rFonts w:cs="Arial"/>
                <w:b/>
              </w:rPr>
            </w:pPr>
          </w:p>
        </w:tc>
      </w:tr>
      <w:tr w:rsidR="003D666E" w:rsidRPr="00F1664D" w14:paraId="2F1B64B1" w14:textId="77777777" w:rsidTr="00500850">
        <w:tc>
          <w:tcPr>
            <w:tcW w:w="4362" w:type="dxa"/>
            <w:shd w:val="clear" w:color="auto" w:fill="auto"/>
          </w:tcPr>
          <w:p w14:paraId="072B1470" w14:textId="77777777" w:rsidR="003D666E" w:rsidRPr="00F1664D" w:rsidRDefault="003D666E" w:rsidP="00500850">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14:paraId="1ABBBBAC" w14:textId="77777777" w:rsidR="003D666E" w:rsidRPr="00F1664D" w:rsidRDefault="003D666E" w:rsidP="00500850">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0"/>
          </w:p>
        </w:tc>
      </w:tr>
      <w:tr w:rsidR="003D666E" w:rsidRPr="00F1664D" w14:paraId="7A7A9CD8" w14:textId="77777777" w:rsidTr="00500850">
        <w:tc>
          <w:tcPr>
            <w:tcW w:w="4362" w:type="dxa"/>
            <w:shd w:val="clear" w:color="auto" w:fill="auto"/>
          </w:tcPr>
          <w:p w14:paraId="48F29E69" w14:textId="77777777" w:rsidR="003D666E" w:rsidRPr="00F1664D" w:rsidRDefault="003D666E" w:rsidP="005925AF">
            <w:pPr>
              <w:spacing w:before="20" w:after="20"/>
              <w:rPr>
                <w:rFonts w:cs="Arial"/>
                <w:b/>
              </w:rPr>
            </w:pPr>
            <w:r w:rsidRPr="00F1664D">
              <w:rPr>
                <w:rFonts w:cs="Arial"/>
                <w:b/>
              </w:rPr>
              <w:t>E-Mail-Adresse:</w:t>
            </w:r>
          </w:p>
        </w:tc>
        <w:tc>
          <w:tcPr>
            <w:tcW w:w="5386" w:type="dxa"/>
            <w:shd w:val="clear" w:color="auto" w:fill="auto"/>
          </w:tcPr>
          <w:p w14:paraId="1EB40042" w14:textId="77777777" w:rsidR="003D666E" w:rsidRPr="00F1664D" w:rsidRDefault="003D666E" w:rsidP="00500850">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3D666E" w:rsidRPr="00F1664D" w14:paraId="32FD1F35" w14:textId="77777777" w:rsidTr="00500850">
        <w:tc>
          <w:tcPr>
            <w:tcW w:w="4362" w:type="dxa"/>
            <w:shd w:val="clear" w:color="auto" w:fill="auto"/>
          </w:tcPr>
          <w:p w14:paraId="4CE00580" w14:textId="77777777" w:rsidR="003D666E" w:rsidRPr="00F1664D" w:rsidRDefault="003D666E" w:rsidP="005925AF">
            <w:pPr>
              <w:spacing w:before="20" w:after="20"/>
              <w:rPr>
                <w:rFonts w:cs="Arial"/>
                <w:b/>
              </w:rPr>
            </w:pPr>
            <w:r w:rsidRPr="00F1664D">
              <w:rPr>
                <w:rFonts w:cs="Arial"/>
                <w:b/>
              </w:rPr>
              <w:t>Telefonnummer:</w:t>
            </w:r>
          </w:p>
        </w:tc>
        <w:tc>
          <w:tcPr>
            <w:tcW w:w="5386" w:type="dxa"/>
            <w:shd w:val="clear" w:color="auto" w:fill="auto"/>
          </w:tcPr>
          <w:p w14:paraId="493FE33B" w14:textId="77777777" w:rsidR="003D666E" w:rsidRDefault="003D666E" w:rsidP="00500850">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3D666E" w:rsidRPr="00F1664D" w14:paraId="0735CC70" w14:textId="77777777" w:rsidTr="00633F0F">
        <w:trPr>
          <w:trHeight w:val="287"/>
        </w:trPr>
        <w:tc>
          <w:tcPr>
            <w:tcW w:w="4362" w:type="dxa"/>
            <w:shd w:val="clear" w:color="auto" w:fill="auto"/>
          </w:tcPr>
          <w:p w14:paraId="33A306C0" w14:textId="77777777" w:rsidR="003D666E" w:rsidRPr="00F1664D" w:rsidRDefault="003D666E" w:rsidP="00633F0F">
            <w:pPr>
              <w:spacing w:before="20" w:after="20"/>
              <w:rPr>
                <w:rFonts w:cs="Arial"/>
                <w:b/>
                <w:sz w:val="18"/>
                <w:szCs w:val="18"/>
              </w:rPr>
            </w:pPr>
            <w:r w:rsidRPr="00F1664D">
              <w:rPr>
                <w:rFonts w:cs="Arial"/>
                <w:b/>
              </w:rPr>
              <w:t>Handelsname des Produkt</w:t>
            </w:r>
            <w:r>
              <w:rPr>
                <w:rFonts w:cs="Arial"/>
                <w:b/>
              </w:rPr>
              <w:t>e</w:t>
            </w:r>
            <w:r w:rsidRPr="00F1664D">
              <w:rPr>
                <w:rFonts w:cs="Arial"/>
                <w:b/>
              </w:rPr>
              <w:t>s:</w:t>
            </w:r>
          </w:p>
        </w:tc>
        <w:tc>
          <w:tcPr>
            <w:tcW w:w="5386" w:type="dxa"/>
            <w:shd w:val="clear" w:color="auto" w:fill="auto"/>
          </w:tcPr>
          <w:p w14:paraId="1046CD11" w14:textId="77777777" w:rsidR="003D666E" w:rsidRPr="00F1664D" w:rsidRDefault="003D666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654CE" w:rsidRPr="00F1664D" w14:paraId="06B95975" w14:textId="77777777" w:rsidTr="00633F0F">
        <w:trPr>
          <w:trHeight w:val="287"/>
        </w:trPr>
        <w:tc>
          <w:tcPr>
            <w:tcW w:w="4362" w:type="dxa"/>
            <w:shd w:val="clear" w:color="auto" w:fill="auto"/>
          </w:tcPr>
          <w:p w14:paraId="688C0621" w14:textId="5BB6DE50" w:rsidR="00C654CE" w:rsidRPr="00F1664D" w:rsidRDefault="00C654CE" w:rsidP="00633F0F">
            <w:pPr>
              <w:spacing w:before="20" w:after="20"/>
              <w:rPr>
                <w:rFonts w:cs="Arial"/>
                <w:b/>
              </w:rPr>
            </w:pPr>
            <w:r>
              <w:rPr>
                <w:rFonts w:cs="Arial"/>
                <w:b/>
              </w:rPr>
              <w:t xml:space="preserve">Produktkategorie </w:t>
            </w:r>
            <w:r w:rsidR="005925AF">
              <w:rPr>
                <w:rFonts w:cs="Arial"/>
                <w:b/>
              </w:rPr>
              <w:t>(</w:t>
            </w:r>
            <w:r w:rsidR="007006CF">
              <w:rPr>
                <w:rFonts w:cs="Arial"/>
                <w:b/>
              </w:rPr>
              <w:t>Backpapier)</w:t>
            </w:r>
          </w:p>
        </w:tc>
        <w:tc>
          <w:tcPr>
            <w:tcW w:w="5386" w:type="dxa"/>
            <w:shd w:val="clear" w:color="auto" w:fill="auto"/>
          </w:tcPr>
          <w:p w14:paraId="5ED40464" w14:textId="77777777" w:rsidR="00C654C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D666E" w:rsidRPr="00F1664D" w14:paraId="4C4ABE23" w14:textId="77777777" w:rsidTr="00C654CE">
        <w:trPr>
          <w:trHeight w:val="497"/>
        </w:trPr>
        <w:tc>
          <w:tcPr>
            <w:tcW w:w="4362" w:type="dxa"/>
            <w:shd w:val="clear" w:color="auto" w:fill="auto"/>
          </w:tcPr>
          <w:p w14:paraId="557CC814" w14:textId="77777777" w:rsidR="00C654CE" w:rsidRDefault="00215893" w:rsidP="00C654CE">
            <w:pPr>
              <w:spacing w:before="20" w:after="20"/>
              <w:rPr>
                <w:rFonts w:cs="Arial"/>
                <w:b/>
              </w:rPr>
            </w:pPr>
            <w:r>
              <w:rPr>
                <w:rFonts w:cs="Arial"/>
                <w:b/>
              </w:rPr>
              <w:t>Inverkehrbringer:</w:t>
            </w:r>
          </w:p>
          <w:p w14:paraId="2F1483CE" w14:textId="77777777" w:rsidR="00192EC8" w:rsidRDefault="00192EC8" w:rsidP="00C654CE">
            <w:pPr>
              <w:spacing w:before="20" w:after="20"/>
              <w:rPr>
                <w:rFonts w:cs="Arial"/>
                <w:b/>
              </w:rPr>
            </w:pPr>
            <w:r w:rsidRPr="00F01D1E">
              <w:rPr>
                <w:rFonts w:cs="Arial"/>
                <w:sz w:val="18"/>
                <w:szCs w:val="18"/>
              </w:rPr>
              <w:t>(</w:t>
            </w:r>
            <w:r>
              <w:rPr>
                <w:rFonts w:cs="Arial"/>
                <w:sz w:val="18"/>
                <w:szCs w:val="18"/>
              </w:rPr>
              <w:t xml:space="preserve">Bitte </w:t>
            </w:r>
            <w:r w:rsidRPr="00F01D1E">
              <w:rPr>
                <w:rFonts w:cs="Arial"/>
                <w:sz w:val="18"/>
                <w:szCs w:val="18"/>
              </w:rPr>
              <w:t>vollständige Anschrift)</w:t>
            </w:r>
          </w:p>
        </w:tc>
        <w:tc>
          <w:tcPr>
            <w:tcW w:w="5386" w:type="dxa"/>
            <w:shd w:val="clear" w:color="auto" w:fill="auto"/>
          </w:tcPr>
          <w:p w14:paraId="411135D3" w14:textId="77777777" w:rsidR="003D666E" w:rsidRPr="00F1664D" w:rsidRDefault="00C654CE" w:rsidP="00500850">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6A6D206D" w14:textId="77777777" w:rsidR="003D666E" w:rsidRPr="00F1664D" w:rsidRDefault="003D666E" w:rsidP="003D666E">
      <w:pPr>
        <w:rPr>
          <w:rFonts w:cs="Arial"/>
        </w:rPr>
      </w:pPr>
    </w:p>
    <w:p w14:paraId="7781DC06" w14:textId="77777777" w:rsidR="003D666E" w:rsidRPr="00F1664D" w:rsidRDefault="003D666E" w:rsidP="003D666E">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D666E" w:rsidRPr="003C7026" w14:paraId="79302A97" w14:textId="77777777" w:rsidTr="00500850">
        <w:trPr>
          <w:trHeight w:val="349"/>
        </w:trPr>
        <w:tc>
          <w:tcPr>
            <w:tcW w:w="1231" w:type="dxa"/>
            <w:shd w:val="clear" w:color="auto" w:fill="auto"/>
          </w:tcPr>
          <w:p w14:paraId="4BE2B7A2" w14:textId="77777777" w:rsidR="003D666E" w:rsidRPr="00F87315" w:rsidRDefault="003D666E" w:rsidP="00500850">
            <w:pPr>
              <w:pStyle w:val="Textkrper"/>
              <w:tabs>
                <w:tab w:val="left" w:pos="8222"/>
              </w:tabs>
              <w:spacing w:line="240" w:lineRule="auto"/>
              <w:jc w:val="left"/>
              <w:rPr>
                <w:b/>
                <w:sz w:val="22"/>
              </w:rPr>
            </w:pPr>
            <w:r>
              <w:rPr>
                <w:b/>
                <w:sz w:val="22"/>
              </w:rPr>
              <w:t>Ziffer:</w:t>
            </w:r>
          </w:p>
        </w:tc>
        <w:tc>
          <w:tcPr>
            <w:tcW w:w="8581" w:type="dxa"/>
            <w:shd w:val="clear" w:color="auto" w:fill="auto"/>
          </w:tcPr>
          <w:p w14:paraId="53AB9997" w14:textId="77777777" w:rsidR="003D666E" w:rsidRPr="00090161" w:rsidRDefault="003D666E" w:rsidP="00500850">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Pr>
                <w:rFonts w:ascii="Verdana" w:hAnsi="Verdana"/>
                <w:sz w:val="20"/>
                <w:szCs w:val="20"/>
              </w:rPr>
              <w:t xml:space="preserve"> dass</w:t>
            </w:r>
          </w:p>
        </w:tc>
      </w:tr>
      <w:tr w:rsidR="003D666E" w:rsidRPr="003C7026" w14:paraId="281DF2BE" w14:textId="77777777" w:rsidTr="00500850">
        <w:trPr>
          <w:trHeight w:val="516"/>
        </w:trPr>
        <w:tc>
          <w:tcPr>
            <w:tcW w:w="1231" w:type="dxa"/>
            <w:shd w:val="clear" w:color="auto" w:fill="auto"/>
          </w:tcPr>
          <w:p w14:paraId="47DEE2E8" w14:textId="0EA5E667" w:rsidR="003D666E" w:rsidRPr="00F87315" w:rsidRDefault="0073080D" w:rsidP="00500850">
            <w:pPr>
              <w:pStyle w:val="Textkrper"/>
              <w:tabs>
                <w:tab w:val="left" w:pos="8222"/>
              </w:tabs>
              <w:spacing w:line="240" w:lineRule="auto"/>
              <w:jc w:val="left"/>
              <w:rPr>
                <w:b/>
                <w:sz w:val="22"/>
              </w:rPr>
            </w:pPr>
            <w:r>
              <w:rPr>
                <w:b/>
                <w:sz w:val="22"/>
              </w:rPr>
              <w:t>3</w:t>
            </w:r>
            <w:r w:rsidR="003D666E" w:rsidRPr="00F87315">
              <w:rPr>
                <w:b/>
                <w:sz w:val="22"/>
              </w:rPr>
              <w:t>.</w:t>
            </w:r>
            <w:r w:rsidR="005925AF">
              <w:rPr>
                <w:b/>
                <w:sz w:val="22"/>
              </w:rPr>
              <w:t>2</w:t>
            </w:r>
            <w:r>
              <w:rPr>
                <w:b/>
                <w:sz w:val="22"/>
              </w:rPr>
              <w:t>.2</w:t>
            </w:r>
          </w:p>
        </w:tc>
        <w:tc>
          <w:tcPr>
            <w:tcW w:w="8581" w:type="dxa"/>
            <w:shd w:val="clear" w:color="auto" w:fill="auto"/>
          </w:tcPr>
          <w:p w14:paraId="4CB3C874" w14:textId="5F7EA0C0" w:rsidR="003D666E" w:rsidRPr="00C32BC9" w:rsidRDefault="003D666E" w:rsidP="00500850">
            <w:pPr>
              <w:pStyle w:val="Textkrper"/>
              <w:tabs>
                <w:tab w:val="clear" w:pos="284"/>
                <w:tab w:val="clear" w:pos="851"/>
                <w:tab w:val="left" w:pos="8222"/>
              </w:tabs>
              <w:spacing w:line="240" w:lineRule="auto"/>
              <w:ind w:left="155" w:hanging="220"/>
              <w:jc w:val="left"/>
              <w:rPr>
                <w:rFonts w:ascii="Verdana" w:hAnsi="Verdana"/>
                <w:sz w:val="20"/>
                <w:szCs w:val="20"/>
              </w:rPr>
            </w:pPr>
            <w:r w:rsidRPr="00C32BC9">
              <w:rPr>
                <w:rFonts w:ascii="Verdana" w:hAnsi="Verdana"/>
                <w:sz w:val="20"/>
                <w:szCs w:val="20"/>
              </w:rPr>
              <w:t>-</w:t>
            </w:r>
            <w:r w:rsidRPr="00C32BC9">
              <w:rPr>
                <w:rFonts w:ascii="Verdana" w:hAnsi="Verdana"/>
                <w:sz w:val="20"/>
                <w:szCs w:val="20"/>
              </w:rPr>
              <w:tab/>
            </w:r>
            <w:r w:rsidR="007006CF">
              <w:rPr>
                <w:rFonts w:ascii="Verdana" w:hAnsi="Verdana"/>
                <w:sz w:val="20"/>
                <w:szCs w:val="20"/>
              </w:rPr>
              <w:t>d</w:t>
            </w:r>
            <w:r w:rsidR="007006CF" w:rsidRPr="007006CF">
              <w:rPr>
                <w:rFonts w:ascii="Verdana" w:hAnsi="Verdana"/>
                <w:sz w:val="20"/>
                <w:szCs w:val="20"/>
              </w:rPr>
              <w:t xml:space="preserve">as Backpapier der Empfehlung </w:t>
            </w:r>
            <w:bookmarkStart w:id="3" w:name="_Hlk172627736"/>
            <w:r w:rsidR="007006CF" w:rsidRPr="007006CF">
              <w:rPr>
                <w:rFonts w:ascii="Verdana" w:hAnsi="Verdana"/>
                <w:sz w:val="20"/>
                <w:szCs w:val="20"/>
              </w:rPr>
              <w:t xml:space="preserve">XXXVI/2. Papiere, Kartons und Pappen für Backzwecke </w:t>
            </w:r>
            <w:bookmarkEnd w:id="3"/>
            <w:r w:rsidR="007006CF" w:rsidRPr="007006CF">
              <w:rPr>
                <w:rFonts w:ascii="Verdana" w:hAnsi="Verdana"/>
                <w:sz w:val="20"/>
                <w:szCs w:val="20"/>
              </w:rPr>
              <w:t>des Bundesinstitutes für Risikobewertung (BfR) in der jeweils gültigen Fassung entspr</w:t>
            </w:r>
            <w:r w:rsidR="007006CF">
              <w:rPr>
                <w:rFonts w:ascii="Verdana" w:hAnsi="Verdana"/>
                <w:sz w:val="20"/>
                <w:szCs w:val="20"/>
              </w:rPr>
              <w:t>icht</w:t>
            </w:r>
          </w:p>
        </w:tc>
      </w:tr>
      <w:tr w:rsidR="003D666E" w:rsidRPr="003C7026" w14:paraId="2E797F73" w14:textId="77777777" w:rsidTr="00500850">
        <w:trPr>
          <w:trHeight w:val="516"/>
        </w:trPr>
        <w:tc>
          <w:tcPr>
            <w:tcW w:w="1231" w:type="dxa"/>
            <w:shd w:val="clear" w:color="auto" w:fill="auto"/>
          </w:tcPr>
          <w:p w14:paraId="1FF62C61" w14:textId="38CD787B" w:rsidR="003D666E" w:rsidRPr="00F87315" w:rsidRDefault="0073080D" w:rsidP="00500850">
            <w:pPr>
              <w:pStyle w:val="Textkrper"/>
              <w:tabs>
                <w:tab w:val="left" w:pos="8222"/>
              </w:tabs>
              <w:spacing w:line="240" w:lineRule="auto"/>
              <w:jc w:val="left"/>
              <w:rPr>
                <w:b/>
                <w:sz w:val="22"/>
              </w:rPr>
            </w:pPr>
            <w:r>
              <w:rPr>
                <w:b/>
                <w:sz w:val="22"/>
              </w:rPr>
              <w:t>3</w:t>
            </w:r>
            <w:r w:rsidR="006F203D">
              <w:rPr>
                <w:b/>
                <w:sz w:val="22"/>
              </w:rPr>
              <w:t>.</w:t>
            </w:r>
            <w:r>
              <w:rPr>
                <w:b/>
                <w:sz w:val="22"/>
              </w:rPr>
              <w:t>2.</w:t>
            </w:r>
            <w:r w:rsidR="005925AF">
              <w:rPr>
                <w:b/>
                <w:sz w:val="22"/>
              </w:rPr>
              <w:t>3</w:t>
            </w:r>
          </w:p>
        </w:tc>
        <w:tc>
          <w:tcPr>
            <w:tcW w:w="8581" w:type="dxa"/>
            <w:shd w:val="clear" w:color="auto" w:fill="auto"/>
          </w:tcPr>
          <w:p w14:paraId="42115869" w14:textId="02DAB6F6" w:rsidR="003D666E" w:rsidRPr="00C32BC9" w:rsidRDefault="007006CF"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Pr>
                <w:rFonts w:ascii="Verdana" w:hAnsi="Verdana"/>
                <w:sz w:val="20"/>
                <w:szCs w:val="20"/>
              </w:rPr>
              <w:t>a</w:t>
            </w:r>
            <w:r w:rsidRPr="007006CF">
              <w:rPr>
                <w:rFonts w:ascii="Verdana" w:hAnsi="Verdana"/>
                <w:sz w:val="20"/>
                <w:szCs w:val="20"/>
              </w:rPr>
              <w:t>ls Faserstoff für die Backpapiere nur Zellstoff aus Primärfasern (inklusive internem Produktionsausschuss) verwendet w</w:t>
            </w:r>
            <w:r>
              <w:rPr>
                <w:rFonts w:ascii="Verdana" w:hAnsi="Verdana"/>
                <w:sz w:val="20"/>
                <w:szCs w:val="20"/>
              </w:rPr>
              <w:t>ird</w:t>
            </w:r>
          </w:p>
        </w:tc>
      </w:tr>
      <w:tr w:rsidR="006F203D" w:rsidRPr="003C7026" w14:paraId="0C591A30" w14:textId="77777777" w:rsidTr="00500850">
        <w:trPr>
          <w:trHeight w:val="516"/>
        </w:trPr>
        <w:tc>
          <w:tcPr>
            <w:tcW w:w="1231" w:type="dxa"/>
            <w:shd w:val="clear" w:color="auto" w:fill="auto"/>
          </w:tcPr>
          <w:p w14:paraId="061B2750" w14:textId="653F35FF" w:rsidR="006F203D" w:rsidRPr="00F87315" w:rsidRDefault="0073080D" w:rsidP="00500850">
            <w:pPr>
              <w:pStyle w:val="Textkrper"/>
              <w:tabs>
                <w:tab w:val="left" w:pos="8222"/>
              </w:tabs>
              <w:spacing w:line="240" w:lineRule="auto"/>
              <w:jc w:val="left"/>
              <w:rPr>
                <w:b/>
                <w:sz w:val="22"/>
              </w:rPr>
            </w:pPr>
            <w:r>
              <w:rPr>
                <w:b/>
                <w:sz w:val="22"/>
              </w:rPr>
              <w:t>3</w:t>
            </w:r>
            <w:r w:rsidR="006F203D">
              <w:rPr>
                <w:b/>
                <w:sz w:val="22"/>
              </w:rPr>
              <w:t>.</w:t>
            </w:r>
            <w:r>
              <w:rPr>
                <w:b/>
                <w:sz w:val="22"/>
              </w:rPr>
              <w:t>2.</w:t>
            </w:r>
            <w:r w:rsidR="005925AF">
              <w:rPr>
                <w:b/>
                <w:sz w:val="22"/>
              </w:rPr>
              <w:t>4</w:t>
            </w:r>
          </w:p>
        </w:tc>
        <w:tc>
          <w:tcPr>
            <w:tcW w:w="8581" w:type="dxa"/>
            <w:shd w:val="clear" w:color="auto" w:fill="auto"/>
          </w:tcPr>
          <w:p w14:paraId="591275B8" w14:textId="77777777" w:rsidR="00F679EA" w:rsidRDefault="006F203D" w:rsidP="00F679EA">
            <w:r w:rsidRPr="00C32BC9">
              <w:t xml:space="preserve">- </w:t>
            </w:r>
            <w:proofErr w:type="gramStart"/>
            <w:r w:rsidR="00F679EA">
              <w:t>das</w:t>
            </w:r>
            <w:proofErr w:type="gramEnd"/>
            <w:r w:rsidR="00F679EA">
              <w:t xml:space="preserve"> </w:t>
            </w:r>
            <w:r w:rsidR="00F679EA" w:rsidRPr="005925AF">
              <w:t xml:space="preserve">für die Produktion des Zellstoffs verwendete Holz aus kontrollierten Quellen </w:t>
            </w:r>
          </w:p>
          <w:p w14:paraId="343AEB96" w14:textId="77777777" w:rsidR="00F679EA" w:rsidRDefault="00F679EA" w:rsidP="00F679EA">
            <w:r>
              <w:t xml:space="preserve">  </w:t>
            </w:r>
            <w:r w:rsidRPr="005925AF">
              <w:t>und nachweislich zu mindestens 70 % aus zertifizierten Wäldern stam</w:t>
            </w:r>
            <w:r>
              <w:t>mt</w:t>
            </w:r>
            <w:r w:rsidRPr="005925AF">
              <w:t xml:space="preserve">, die </w:t>
            </w:r>
          </w:p>
          <w:p w14:paraId="536CA7DE" w14:textId="77777777" w:rsidR="00F679EA" w:rsidRDefault="00F679EA" w:rsidP="00F679EA">
            <w:r>
              <w:t xml:space="preserve">  </w:t>
            </w:r>
            <w:r w:rsidRPr="005925AF">
              <w:t>nach den</w:t>
            </w:r>
            <w:r>
              <w:t xml:space="preserve"> </w:t>
            </w:r>
            <w:r w:rsidRPr="005925AF">
              <w:t xml:space="preserve">Grundsätzen einer ökologischen und sozialverträglich Forstwirtschaft </w:t>
            </w:r>
            <w:r>
              <w:t xml:space="preserve"> </w:t>
            </w:r>
          </w:p>
          <w:p w14:paraId="5ABFD4F1" w14:textId="0A70C957" w:rsidR="006F203D" w:rsidRPr="00C32BC9" w:rsidRDefault="00F679EA" w:rsidP="00F679EA">
            <w:r>
              <w:t xml:space="preserve">  </w:t>
            </w:r>
            <w:r w:rsidRPr="005925AF">
              <w:t>bewirtschaftet werden</w:t>
            </w:r>
          </w:p>
        </w:tc>
      </w:tr>
      <w:tr w:rsidR="006F203D" w:rsidRPr="003C7026" w14:paraId="474107E4" w14:textId="77777777" w:rsidTr="00500850">
        <w:trPr>
          <w:trHeight w:val="516"/>
        </w:trPr>
        <w:tc>
          <w:tcPr>
            <w:tcW w:w="1231" w:type="dxa"/>
            <w:shd w:val="clear" w:color="auto" w:fill="auto"/>
          </w:tcPr>
          <w:p w14:paraId="514E67D9" w14:textId="6D4F74D8" w:rsidR="006F203D" w:rsidRPr="00F87315" w:rsidRDefault="0073080D" w:rsidP="00500850">
            <w:pPr>
              <w:pStyle w:val="Textkrper"/>
              <w:tabs>
                <w:tab w:val="left" w:pos="8222"/>
              </w:tabs>
              <w:spacing w:line="240" w:lineRule="auto"/>
              <w:jc w:val="left"/>
              <w:rPr>
                <w:b/>
                <w:sz w:val="22"/>
              </w:rPr>
            </w:pPr>
            <w:r>
              <w:rPr>
                <w:b/>
                <w:sz w:val="22"/>
              </w:rPr>
              <w:t>3</w:t>
            </w:r>
            <w:r w:rsidR="006F203D">
              <w:rPr>
                <w:b/>
                <w:sz w:val="22"/>
              </w:rPr>
              <w:t>.</w:t>
            </w:r>
            <w:r>
              <w:rPr>
                <w:b/>
                <w:sz w:val="22"/>
              </w:rPr>
              <w:t>2.</w:t>
            </w:r>
            <w:r w:rsidR="005925AF">
              <w:rPr>
                <w:b/>
                <w:sz w:val="22"/>
              </w:rPr>
              <w:t>5.1</w:t>
            </w:r>
          </w:p>
        </w:tc>
        <w:tc>
          <w:tcPr>
            <w:tcW w:w="8581" w:type="dxa"/>
            <w:shd w:val="clear" w:color="auto" w:fill="auto"/>
          </w:tcPr>
          <w:p w14:paraId="47F2C374" w14:textId="40FE7EDB" w:rsidR="006F203D" w:rsidRPr="00C32BC9" w:rsidRDefault="004C0DE1" w:rsidP="003D666E">
            <w:pPr>
              <w:pStyle w:val="Textkrper"/>
              <w:numPr>
                <w:ilvl w:val="0"/>
                <w:numId w:val="4"/>
              </w:numPr>
              <w:tabs>
                <w:tab w:val="clear" w:pos="284"/>
                <w:tab w:val="clear" w:pos="851"/>
                <w:tab w:val="left" w:pos="8222"/>
              </w:tabs>
              <w:spacing w:line="240" w:lineRule="auto"/>
              <w:ind w:left="155" w:hanging="220"/>
              <w:jc w:val="left"/>
              <w:rPr>
                <w:rFonts w:ascii="Verdana" w:hAnsi="Verdana"/>
                <w:sz w:val="20"/>
                <w:szCs w:val="20"/>
              </w:rPr>
            </w:pPr>
            <w:r w:rsidRPr="004C0DE1">
              <w:rPr>
                <w:rFonts w:ascii="Verdana" w:hAnsi="Verdana"/>
                <w:sz w:val="20"/>
                <w:szCs w:val="20"/>
              </w:rPr>
              <w:t>jede</w:t>
            </w:r>
            <w:r>
              <w:rPr>
                <w:rFonts w:ascii="Verdana" w:hAnsi="Verdana"/>
                <w:sz w:val="20"/>
                <w:szCs w:val="20"/>
              </w:rPr>
              <w:t>r</w:t>
            </w:r>
            <w:r w:rsidRPr="004C0DE1">
              <w:rPr>
                <w:rFonts w:ascii="Verdana" w:hAnsi="Verdana"/>
                <w:sz w:val="20"/>
                <w:szCs w:val="20"/>
              </w:rPr>
              <w:t xml:space="preserve"> einzelnen der Belastungspunkte P</w:t>
            </w:r>
            <w:r w:rsidRPr="004C0DE1">
              <w:rPr>
                <w:rFonts w:ascii="Verdana" w:hAnsi="Verdana"/>
                <w:sz w:val="20"/>
                <w:szCs w:val="20"/>
                <w:vertAlign w:val="subscript"/>
              </w:rPr>
              <w:t>CSB</w:t>
            </w:r>
            <w:r w:rsidRPr="004C0DE1">
              <w:rPr>
                <w:rFonts w:ascii="Verdana" w:hAnsi="Verdana"/>
                <w:sz w:val="20"/>
                <w:szCs w:val="20"/>
              </w:rPr>
              <w:t>, P</w:t>
            </w:r>
            <w:r w:rsidRPr="004C0DE1">
              <w:rPr>
                <w:rFonts w:ascii="Verdana" w:hAnsi="Verdana"/>
                <w:sz w:val="20"/>
                <w:szCs w:val="20"/>
                <w:vertAlign w:val="subscript"/>
              </w:rPr>
              <w:t>N</w:t>
            </w:r>
            <w:r w:rsidRPr="004C0DE1">
              <w:rPr>
                <w:rFonts w:ascii="Verdana" w:hAnsi="Verdana"/>
                <w:sz w:val="20"/>
                <w:szCs w:val="20"/>
              </w:rPr>
              <w:t>, P</w:t>
            </w:r>
            <w:r w:rsidRPr="004C0DE1">
              <w:rPr>
                <w:rFonts w:ascii="Verdana" w:hAnsi="Verdana"/>
                <w:sz w:val="20"/>
                <w:szCs w:val="20"/>
                <w:vertAlign w:val="subscript"/>
              </w:rPr>
              <w:t>P</w:t>
            </w:r>
            <w:r w:rsidRPr="004C0DE1">
              <w:rPr>
                <w:rFonts w:ascii="Verdana" w:hAnsi="Verdana"/>
                <w:sz w:val="20"/>
                <w:szCs w:val="20"/>
              </w:rPr>
              <w:t xml:space="preserve"> </w:t>
            </w:r>
            <w:r>
              <w:rPr>
                <w:rFonts w:ascii="Verdana" w:hAnsi="Verdana"/>
                <w:sz w:val="20"/>
                <w:szCs w:val="20"/>
              </w:rPr>
              <w:t xml:space="preserve">der Abwasseremissionen bei der Zellstoffherstellung </w:t>
            </w:r>
            <w:r w:rsidRPr="004C0DE1">
              <w:rPr>
                <w:rFonts w:ascii="Verdana" w:hAnsi="Verdana"/>
                <w:sz w:val="20"/>
                <w:szCs w:val="20"/>
              </w:rPr>
              <w:t>ein</w:t>
            </w:r>
            <w:r>
              <w:rPr>
                <w:rFonts w:ascii="Verdana" w:hAnsi="Verdana"/>
                <w:sz w:val="20"/>
                <w:szCs w:val="20"/>
              </w:rPr>
              <w:t>en</w:t>
            </w:r>
            <w:r w:rsidRPr="004C0DE1">
              <w:rPr>
                <w:rFonts w:ascii="Verdana" w:hAnsi="Verdana"/>
                <w:sz w:val="20"/>
                <w:szCs w:val="20"/>
              </w:rPr>
              <w:t xml:space="preserve"> Wert von jeweils 1,5 nicht überschr</w:t>
            </w:r>
            <w:r>
              <w:rPr>
                <w:rFonts w:ascii="Verdana" w:hAnsi="Verdana"/>
                <w:sz w:val="20"/>
                <w:szCs w:val="20"/>
              </w:rPr>
              <w:t>eitet</w:t>
            </w:r>
            <w:r w:rsidRPr="004C0DE1">
              <w:rPr>
                <w:rFonts w:ascii="Verdana" w:hAnsi="Verdana"/>
                <w:sz w:val="20"/>
                <w:szCs w:val="20"/>
              </w:rPr>
              <w:t xml:space="preserve"> und die Summe der Belastungspunkte der Abwasseremissionen (P</w:t>
            </w:r>
            <w:r w:rsidRPr="004C0DE1">
              <w:rPr>
                <w:rFonts w:ascii="Verdana" w:hAnsi="Verdana"/>
                <w:sz w:val="20"/>
                <w:szCs w:val="20"/>
                <w:vertAlign w:val="subscript"/>
              </w:rPr>
              <w:t>CSB</w:t>
            </w:r>
            <w:r w:rsidRPr="004C0DE1">
              <w:rPr>
                <w:rFonts w:ascii="Verdana" w:hAnsi="Verdana"/>
                <w:sz w:val="20"/>
                <w:szCs w:val="20"/>
              </w:rPr>
              <w:t>, P</w:t>
            </w:r>
            <w:r w:rsidRPr="004C0DE1">
              <w:rPr>
                <w:rFonts w:ascii="Verdana" w:hAnsi="Verdana"/>
                <w:sz w:val="20"/>
                <w:szCs w:val="20"/>
                <w:vertAlign w:val="subscript"/>
              </w:rPr>
              <w:t>N</w:t>
            </w:r>
            <w:r w:rsidRPr="004C0DE1">
              <w:rPr>
                <w:rFonts w:ascii="Verdana" w:hAnsi="Verdana"/>
                <w:sz w:val="20"/>
                <w:szCs w:val="20"/>
              </w:rPr>
              <w:t xml:space="preserve"> und P</w:t>
            </w:r>
            <w:r w:rsidRPr="004C0DE1">
              <w:rPr>
                <w:rFonts w:ascii="Verdana" w:hAnsi="Verdana"/>
                <w:sz w:val="20"/>
                <w:szCs w:val="20"/>
                <w:vertAlign w:val="subscript"/>
              </w:rPr>
              <w:t>P</w:t>
            </w:r>
            <w:r w:rsidRPr="004C0DE1">
              <w:rPr>
                <w:rFonts w:ascii="Verdana" w:hAnsi="Verdana"/>
                <w:sz w:val="20"/>
                <w:szCs w:val="20"/>
              </w:rPr>
              <w:t>) einen Wert von 3,0 nicht überschreite</w:t>
            </w:r>
            <w:r w:rsidR="00BE5347">
              <w:rPr>
                <w:rFonts w:ascii="Verdana" w:hAnsi="Verdana"/>
                <w:sz w:val="20"/>
                <w:szCs w:val="20"/>
              </w:rPr>
              <w:t>t</w:t>
            </w:r>
            <w:r w:rsidRPr="004C0DE1">
              <w:rPr>
                <w:rFonts w:ascii="Verdana" w:hAnsi="Verdana"/>
                <w:sz w:val="20"/>
                <w:szCs w:val="20"/>
              </w:rPr>
              <w:t>.</w:t>
            </w:r>
          </w:p>
        </w:tc>
      </w:tr>
      <w:tr w:rsidR="00C32BC9" w:rsidRPr="003C7026" w14:paraId="0AFB4802" w14:textId="77777777" w:rsidTr="00500850">
        <w:trPr>
          <w:trHeight w:val="516"/>
        </w:trPr>
        <w:tc>
          <w:tcPr>
            <w:tcW w:w="1231" w:type="dxa"/>
            <w:shd w:val="clear" w:color="auto" w:fill="auto"/>
          </w:tcPr>
          <w:p w14:paraId="24D88BFF" w14:textId="6075245A" w:rsidR="00C32BC9" w:rsidRDefault="0073080D" w:rsidP="00500850">
            <w:pPr>
              <w:pStyle w:val="Textkrper"/>
              <w:tabs>
                <w:tab w:val="left" w:pos="8222"/>
              </w:tabs>
              <w:spacing w:line="240" w:lineRule="auto"/>
              <w:jc w:val="left"/>
              <w:rPr>
                <w:b/>
                <w:sz w:val="22"/>
              </w:rPr>
            </w:pPr>
            <w:r>
              <w:rPr>
                <w:b/>
                <w:sz w:val="22"/>
              </w:rPr>
              <w:t>3.2</w:t>
            </w:r>
            <w:r w:rsidR="00C32BC9">
              <w:rPr>
                <w:b/>
                <w:sz w:val="22"/>
              </w:rPr>
              <w:t>.</w:t>
            </w:r>
            <w:r w:rsidR="00554477">
              <w:rPr>
                <w:b/>
                <w:sz w:val="22"/>
              </w:rPr>
              <w:t>5.2</w:t>
            </w:r>
          </w:p>
        </w:tc>
        <w:tc>
          <w:tcPr>
            <w:tcW w:w="8581" w:type="dxa"/>
            <w:shd w:val="clear" w:color="auto" w:fill="auto"/>
          </w:tcPr>
          <w:p w14:paraId="33D7AF0C" w14:textId="28A3D0AB" w:rsid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FF4A68">
              <w:rPr>
                <w:rFonts w:ascii="Verdana" w:hAnsi="Verdana"/>
                <w:sz w:val="20"/>
                <w:szCs w:val="20"/>
              </w:rPr>
              <w:t>f</w:t>
            </w:r>
            <w:r w:rsidRPr="00020CE4">
              <w:rPr>
                <w:rFonts w:ascii="Verdana" w:hAnsi="Verdana"/>
                <w:sz w:val="20"/>
                <w:szCs w:val="20"/>
              </w:rPr>
              <w:t>ür jeden einzelnen der Belastungspunkte P</w:t>
            </w:r>
            <w:r w:rsidRPr="00FF4A68">
              <w:rPr>
                <w:rFonts w:ascii="Verdana" w:hAnsi="Verdana"/>
                <w:sz w:val="20"/>
                <w:szCs w:val="20"/>
                <w:vertAlign w:val="subscript"/>
              </w:rPr>
              <w:t>Schwefel</w:t>
            </w:r>
            <w:r w:rsidRPr="00020CE4">
              <w:rPr>
                <w:rFonts w:ascii="Verdana" w:hAnsi="Verdana"/>
                <w:sz w:val="20"/>
                <w:szCs w:val="20"/>
              </w:rPr>
              <w:t xml:space="preserve"> und P</w:t>
            </w:r>
            <w:r w:rsidRPr="00FF4A68">
              <w:rPr>
                <w:rFonts w:ascii="Verdana" w:hAnsi="Verdana"/>
                <w:sz w:val="20"/>
                <w:szCs w:val="20"/>
                <w:vertAlign w:val="subscript"/>
              </w:rPr>
              <w:t>NOx</w:t>
            </w:r>
            <w:r w:rsidRPr="00020CE4">
              <w:rPr>
                <w:rFonts w:ascii="Verdana" w:hAnsi="Verdana"/>
                <w:sz w:val="20"/>
                <w:szCs w:val="20"/>
              </w:rPr>
              <w:t xml:space="preserve"> ein Wert</w:t>
            </w:r>
            <w:r>
              <w:rPr>
                <w:rFonts w:ascii="Verdana" w:hAnsi="Verdana"/>
                <w:sz w:val="20"/>
                <w:szCs w:val="20"/>
              </w:rPr>
              <w:t xml:space="preserve"> </w:t>
            </w:r>
            <w:r w:rsidRPr="00020CE4">
              <w:rPr>
                <w:rFonts w:ascii="Verdana" w:hAnsi="Verdana"/>
                <w:sz w:val="20"/>
                <w:szCs w:val="20"/>
              </w:rPr>
              <w:t xml:space="preserve">von </w:t>
            </w:r>
            <w:r>
              <w:rPr>
                <w:rFonts w:ascii="Verdana" w:hAnsi="Verdana"/>
                <w:sz w:val="20"/>
                <w:szCs w:val="20"/>
              </w:rPr>
              <w:t xml:space="preserve"> </w:t>
            </w:r>
          </w:p>
          <w:p w14:paraId="6BF0CF5A" w14:textId="5CB64003" w:rsid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jeweils 1,5 nicht überschritten w</w:t>
            </w:r>
            <w:r w:rsidR="00FF4A68">
              <w:rPr>
                <w:rFonts w:ascii="Verdana" w:hAnsi="Verdana"/>
                <w:sz w:val="20"/>
                <w:szCs w:val="20"/>
              </w:rPr>
              <w:t>ird</w:t>
            </w:r>
            <w:r w:rsidRPr="00020CE4">
              <w:rPr>
                <w:rFonts w:ascii="Verdana" w:hAnsi="Verdana"/>
                <w:sz w:val="20"/>
                <w:szCs w:val="20"/>
              </w:rPr>
              <w:t xml:space="preserve"> und die Summe der Belastungspunkte der </w:t>
            </w:r>
          </w:p>
          <w:p w14:paraId="49686ED3" w14:textId="0C7E8A5E" w:rsidR="00020CE4" w:rsidRPr="00020CE4" w:rsidRDefault="00020CE4" w:rsidP="00020CE4">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Abluftemissionen (P</w:t>
            </w:r>
            <w:r w:rsidRPr="00FF4A68">
              <w:rPr>
                <w:rFonts w:ascii="Verdana" w:hAnsi="Verdana"/>
                <w:sz w:val="20"/>
                <w:szCs w:val="20"/>
                <w:vertAlign w:val="subscript"/>
              </w:rPr>
              <w:t>Schwefel</w:t>
            </w:r>
            <w:r w:rsidRPr="00020CE4">
              <w:rPr>
                <w:rFonts w:ascii="Verdana" w:hAnsi="Verdana"/>
                <w:sz w:val="20"/>
                <w:szCs w:val="20"/>
              </w:rPr>
              <w:t xml:space="preserve"> und P</w:t>
            </w:r>
            <w:r w:rsidRPr="00FF4A68">
              <w:rPr>
                <w:rFonts w:ascii="Verdana" w:hAnsi="Verdana"/>
                <w:sz w:val="20"/>
                <w:szCs w:val="20"/>
                <w:vertAlign w:val="subscript"/>
              </w:rPr>
              <w:t>NOx</w:t>
            </w:r>
            <w:r w:rsidRPr="00020CE4">
              <w:rPr>
                <w:rFonts w:ascii="Verdana" w:hAnsi="Verdana"/>
                <w:sz w:val="20"/>
                <w:szCs w:val="20"/>
              </w:rPr>
              <w:t>) einen Wert von 2,0 nicht überschreite</w:t>
            </w:r>
            <w:r w:rsidR="00FF4A68">
              <w:rPr>
                <w:rFonts w:ascii="Verdana" w:hAnsi="Verdana"/>
                <w:sz w:val="20"/>
                <w:szCs w:val="20"/>
              </w:rPr>
              <w:t>t</w:t>
            </w:r>
            <w:r w:rsidRPr="00020CE4">
              <w:rPr>
                <w:rFonts w:ascii="Verdana" w:hAnsi="Verdana"/>
                <w:sz w:val="20"/>
                <w:szCs w:val="20"/>
              </w:rPr>
              <w:t>.</w:t>
            </w:r>
          </w:p>
          <w:p w14:paraId="16133CE0" w14:textId="18C81937" w:rsidR="00020CE4" w:rsidRDefault="00020CE4"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00FF4A68">
              <w:rPr>
                <w:rFonts w:ascii="Verdana" w:hAnsi="Verdana"/>
                <w:sz w:val="20"/>
                <w:szCs w:val="20"/>
              </w:rPr>
              <w:t>d</w:t>
            </w:r>
            <w:r w:rsidRPr="00020CE4">
              <w:rPr>
                <w:rFonts w:ascii="Verdana" w:hAnsi="Verdana"/>
                <w:sz w:val="20"/>
                <w:szCs w:val="20"/>
              </w:rPr>
              <w:t>ie Staubemissionen den Grenzwert von 0,3</w:t>
            </w:r>
            <w:r w:rsidR="00C5588C">
              <w:rPr>
                <w:rFonts w:ascii="Verdana" w:hAnsi="Verdana"/>
                <w:sz w:val="20"/>
                <w:szCs w:val="20"/>
              </w:rPr>
              <w:t>3</w:t>
            </w:r>
            <w:r w:rsidRPr="00020CE4">
              <w:rPr>
                <w:rFonts w:ascii="Verdana" w:hAnsi="Verdana"/>
                <w:sz w:val="20"/>
                <w:szCs w:val="20"/>
              </w:rPr>
              <w:t xml:space="preserve"> kg Staub/Tonne lufttrocken </w:t>
            </w:r>
          </w:p>
          <w:p w14:paraId="1209547F" w14:textId="13F7210A" w:rsidR="00C32BC9" w:rsidRPr="00C32BC9" w:rsidRDefault="00020CE4" w:rsidP="00020CE4">
            <w:pPr>
              <w:pStyle w:val="Textkrper"/>
              <w:tabs>
                <w:tab w:val="clear" w:pos="284"/>
                <w:tab w:val="clear" w:pos="851"/>
                <w:tab w:val="left" w:pos="8222"/>
              </w:tabs>
              <w:spacing w:line="240" w:lineRule="auto"/>
              <w:jc w:val="left"/>
              <w:rPr>
                <w:rFonts w:ascii="Verdana" w:hAnsi="Verdana"/>
                <w:sz w:val="20"/>
                <w:szCs w:val="20"/>
              </w:rPr>
            </w:pPr>
            <w:r>
              <w:rPr>
                <w:rFonts w:ascii="Verdana" w:hAnsi="Verdana"/>
                <w:sz w:val="20"/>
                <w:szCs w:val="20"/>
              </w:rPr>
              <w:t xml:space="preserve">  </w:t>
            </w:r>
            <w:r w:rsidRPr="00020CE4">
              <w:rPr>
                <w:rFonts w:ascii="Verdana" w:hAnsi="Verdana"/>
                <w:sz w:val="20"/>
                <w:szCs w:val="20"/>
              </w:rPr>
              <w:t>nicht überschreiten</w:t>
            </w:r>
          </w:p>
        </w:tc>
      </w:tr>
      <w:tr w:rsidR="00C32BC9" w:rsidRPr="003C7026" w14:paraId="12923861" w14:textId="77777777" w:rsidTr="00500850">
        <w:trPr>
          <w:trHeight w:val="516"/>
        </w:trPr>
        <w:tc>
          <w:tcPr>
            <w:tcW w:w="1231" w:type="dxa"/>
            <w:shd w:val="clear" w:color="auto" w:fill="auto"/>
          </w:tcPr>
          <w:p w14:paraId="65062D38" w14:textId="1AE474B3" w:rsidR="00C32BC9" w:rsidRDefault="0073080D" w:rsidP="00500850">
            <w:pPr>
              <w:pStyle w:val="Textkrper"/>
              <w:tabs>
                <w:tab w:val="left" w:pos="8222"/>
              </w:tabs>
              <w:spacing w:line="240" w:lineRule="auto"/>
              <w:jc w:val="left"/>
              <w:rPr>
                <w:b/>
                <w:sz w:val="22"/>
              </w:rPr>
            </w:pPr>
            <w:r>
              <w:rPr>
                <w:b/>
                <w:sz w:val="22"/>
              </w:rPr>
              <w:t>3.2</w:t>
            </w:r>
            <w:r w:rsidR="00C32BC9">
              <w:rPr>
                <w:b/>
                <w:sz w:val="22"/>
              </w:rPr>
              <w:t>.</w:t>
            </w:r>
            <w:r w:rsidR="00FF4A68">
              <w:rPr>
                <w:b/>
                <w:sz w:val="22"/>
              </w:rPr>
              <w:t>5.3</w:t>
            </w:r>
          </w:p>
        </w:tc>
        <w:tc>
          <w:tcPr>
            <w:tcW w:w="8581" w:type="dxa"/>
            <w:shd w:val="clear" w:color="auto" w:fill="auto"/>
          </w:tcPr>
          <w:p w14:paraId="1A11F97E" w14:textId="77777777" w:rsidR="0010631A" w:rsidRDefault="00FF4A68"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d</w:t>
            </w:r>
            <w:r w:rsidRPr="00FF4A68">
              <w:rPr>
                <w:rFonts w:ascii="Verdana" w:hAnsi="Verdana"/>
                <w:bCs/>
                <w:sz w:val="20"/>
                <w:szCs w:val="20"/>
              </w:rPr>
              <w:t>er spezifische Energieverbrauch bei der Zellstoffherstellung folgende</w:t>
            </w:r>
            <w:r>
              <w:rPr>
                <w:rFonts w:ascii="Verdana" w:hAnsi="Verdana"/>
                <w:bCs/>
                <w:sz w:val="20"/>
                <w:szCs w:val="20"/>
              </w:rPr>
              <w:t xml:space="preserve"> </w:t>
            </w:r>
            <w:r w:rsidR="0010631A">
              <w:rPr>
                <w:rFonts w:ascii="Verdana" w:hAnsi="Verdana"/>
                <w:bCs/>
                <w:sz w:val="20"/>
                <w:szCs w:val="20"/>
              </w:rPr>
              <w:t xml:space="preserve"> </w:t>
            </w:r>
          </w:p>
          <w:p w14:paraId="4F052BFF" w14:textId="3183387B" w:rsidR="00FF4A68" w:rsidRPr="00FF4A68" w:rsidRDefault="0010631A"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FF4A68" w:rsidRPr="00FF4A68">
              <w:rPr>
                <w:rFonts w:ascii="Verdana" w:hAnsi="Verdana"/>
                <w:bCs/>
                <w:sz w:val="20"/>
                <w:szCs w:val="20"/>
              </w:rPr>
              <w:t>Grenzwerte nicht übersteig</w:t>
            </w:r>
            <w:r w:rsidR="00252BD3">
              <w:rPr>
                <w:rFonts w:ascii="Verdana" w:hAnsi="Verdana"/>
                <w:bCs/>
                <w:sz w:val="20"/>
                <w:szCs w:val="20"/>
              </w:rPr>
              <w:t>t</w:t>
            </w:r>
            <w:r w:rsidR="00FF4A68" w:rsidRPr="00FF4A68">
              <w:rPr>
                <w:rFonts w:ascii="Verdana" w:hAnsi="Verdana"/>
                <w:bCs/>
                <w:sz w:val="20"/>
                <w:szCs w:val="20"/>
              </w:rPr>
              <w:t>:</w:t>
            </w:r>
          </w:p>
          <w:p w14:paraId="1475BBEB" w14:textId="4353EA99" w:rsidR="00FF4A68" w:rsidRPr="00FF4A68" w:rsidRDefault="00FF4A68" w:rsidP="00FF4A68">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Pr="00FF4A68">
              <w:rPr>
                <w:rFonts w:ascii="Verdana" w:hAnsi="Verdana"/>
                <w:bCs/>
                <w:sz w:val="20"/>
                <w:szCs w:val="20"/>
              </w:rPr>
              <w:t>Elektrische Energie: ≤</w:t>
            </w:r>
            <w:r w:rsidR="00C5588C">
              <w:rPr>
                <w:rFonts w:ascii="Verdana" w:hAnsi="Verdana"/>
                <w:bCs/>
                <w:sz w:val="20"/>
                <w:szCs w:val="20"/>
              </w:rPr>
              <w:t>800</w:t>
            </w:r>
            <w:r w:rsidRPr="00FF4A68">
              <w:rPr>
                <w:rFonts w:ascii="Verdana" w:hAnsi="Verdana"/>
                <w:bCs/>
                <w:sz w:val="20"/>
                <w:szCs w:val="20"/>
              </w:rPr>
              <w:t xml:space="preserve"> kWh/Tonne lufttrocken</w:t>
            </w:r>
          </w:p>
          <w:p w14:paraId="03B79D08" w14:textId="2A42E8D3" w:rsidR="00C32BC9" w:rsidRDefault="00FF4A68" w:rsidP="00FF4A68">
            <w:pPr>
              <w:pStyle w:val="Textkrper"/>
              <w:tabs>
                <w:tab w:val="clear" w:pos="284"/>
                <w:tab w:val="clear" w:pos="851"/>
                <w:tab w:val="left" w:pos="8222"/>
              </w:tabs>
              <w:spacing w:line="240" w:lineRule="auto"/>
              <w:jc w:val="left"/>
              <w:rPr>
                <w:rFonts w:ascii="Verdana" w:hAnsi="Verdana"/>
                <w:bCs/>
                <w:sz w:val="20"/>
                <w:szCs w:val="20"/>
              </w:rPr>
            </w:pPr>
            <w:r>
              <w:rPr>
                <w:rFonts w:ascii="Verdana" w:hAnsi="Verdana"/>
                <w:bCs/>
                <w:sz w:val="20"/>
                <w:szCs w:val="20"/>
              </w:rPr>
              <w:t xml:space="preserve">   </w:t>
            </w:r>
            <w:r w:rsidRPr="00FF4A68">
              <w:rPr>
                <w:rFonts w:ascii="Verdana" w:hAnsi="Verdana"/>
                <w:bCs/>
                <w:sz w:val="20"/>
                <w:szCs w:val="20"/>
              </w:rPr>
              <w:t>Wärmeenergie:       ≤7.</w:t>
            </w:r>
            <w:r w:rsidR="00C5588C">
              <w:rPr>
                <w:rFonts w:ascii="Verdana" w:hAnsi="Verdana"/>
                <w:bCs/>
                <w:sz w:val="20"/>
                <w:szCs w:val="20"/>
              </w:rPr>
              <w:t>0</w:t>
            </w:r>
            <w:r w:rsidRPr="00FF4A68">
              <w:rPr>
                <w:rFonts w:ascii="Verdana" w:hAnsi="Verdana"/>
                <w:bCs/>
                <w:sz w:val="20"/>
                <w:szCs w:val="20"/>
              </w:rPr>
              <w:t>00 kWh/Tonne lufttrocken</w:t>
            </w:r>
          </w:p>
          <w:p w14:paraId="02E948B4" w14:textId="4A96D53E" w:rsidR="007C76FD" w:rsidRDefault="007C76FD" w:rsidP="00FF4A68">
            <w:pPr>
              <w:pStyle w:val="Textkrper"/>
              <w:tabs>
                <w:tab w:val="clear" w:pos="284"/>
                <w:tab w:val="clear" w:pos="851"/>
                <w:tab w:val="left" w:pos="8222"/>
              </w:tabs>
              <w:spacing w:line="240" w:lineRule="auto"/>
              <w:jc w:val="left"/>
              <w:rPr>
                <w:rFonts w:ascii="Verdana" w:hAnsi="Verdana"/>
                <w:bCs/>
                <w:sz w:val="20"/>
                <w:szCs w:val="20"/>
              </w:rPr>
            </w:pPr>
            <w:r w:rsidRPr="00434333">
              <w:rPr>
                <w:rFonts w:ascii="Verdana" w:hAnsi="Verdana"/>
                <w:sz w:val="16"/>
                <w:szCs w:val="16"/>
              </w:rPr>
              <w:t>Die Überschreitung der Summe aus Prozesswärme- und elektrischem Strombedarf um insgesamt 10% ist zulässig;</w:t>
            </w:r>
          </w:p>
          <w:p w14:paraId="2BF7D036" w14:textId="77777777" w:rsidR="0010631A" w:rsidRDefault="00252BD3" w:rsidP="00252BD3">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d</w:t>
            </w:r>
            <w:r w:rsidRPr="00252BD3">
              <w:rPr>
                <w:rFonts w:ascii="Verdana" w:hAnsi="Verdana"/>
                <w:sz w:val="20"/>
                <w:szCs w:val="20"/>
              </w:rPr>
              <w:t>er Verbrauch an elektrischer Energie zur Zellstoffproduktion über einen</w:t>
            </w:r>
            <w:r>
              <w:rPr>
                <w:rFonts w:ascii="Verdana" w:hAnsi="Verdana"/>
                <w:sz w:val="20"/>
                <w:szCs w:val="20"/>
              </w:rPr>
              <w:t xml:space="preserve"> </w:t>
            </w:r>
          </w:p>
          <w:p w14:paraId="3EF66C06" w14:textId="72DEB847" w:rsidR="0010631A"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Zeitraum</w:t>
            </w:r>
            <w:r w:rsidR="00252BD3">
              <w:rPr>
                <w:rFonts w:ascii="Verdana" w:hAnsi="Verdana"/>
                <w:sz w:val="20"/>
                <w:szCs w:val="20"/>
              </w:rPr>
              <w:t xml:space="preserve"> </w:t>
            </w:r>
            <w:r w:rsidR="00252BD3" w:rsidRPr="00252BD3">
              <w:rPr>
                <w:rFonts w:ascii="Verdana" w:hAnsi="Verdana"/>
                <w:sz w:val="20"/>
                <w:szCs w:val="20"/>
              </w:rPr>
              <w:t>von 12</w:t>
            </w:r>
            <w:r w:rsidR="00252BD3">
              <w:rPr>
                <w:rFonts w:ascii="Verdana" w:hAnsi="Verdana"/>
                <w:sz w:val="20"/>
                <w:szCs w:val="20"/>
              </w:rPr>
              <w:t xml:space="preserve"> </w:t>
            </w:r>
            <w:r w:rsidR="00252BD3" w:rsidRPr="00252BD3">
              <w:rPr>
                <w:rFonts w:ascii="Verdana" w:hAnsi="Verdana"/>
                <w:sz w:val="20"/>
                <w:szCs w:val="20"/>
              </w:rPr>
              <w:t xml:space="preserve">Monaten ermittelt und auf die Zellstoffproduktion (Tonnen </w:t>
            </w:r>
          </w:p>
          <w:p w14:paraId="62EC6B61" w14:textId="08F324FD" w:rsidR="00252BD3"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lufttrocken) in diesem Zeitraum bezogen w</w:t>
            </w:r>
            <w:r w:rsidR="00252BD3">
              <w:rPr>
                <w:rFonts w:ascii="Verdana" w:hAnsi="Verdana"/>
                <w:sz w:val="20"/>
                <w:szCs w:val="20"/>
              </w:rPr>
              <w:t>ird</w:t>
            </w:r>
          </w:p>
          <w:p w14:paraId="673262E5" w14:textId="77777777" w:rsidR="0010631A" w:rsidRDefault="00252BD3" w:rsidP="00252BD3">
            <w:pPr>
              <w:pStyle w:val="Textkrper"/>
              <w:tabs>
                <w:tab w:val="left" w:pos="8222"/>
              </w:tabs>
              <w:spacing w:line="240" w:lineRule="auto"/>
              <w:jc w:val="left"/>
              <w:rPr>
                <w:rFonts w:ascii="Verdana" w:hAnsi="Verdana"/>
                <w:sz w:val="20"/>
                <w:szCs w:val="20"/>
              </w:rPr>
            </w:pPr>
            <w:r w:rsidRPr="00252BD3">
              <w:rPr>
                <w:rFonts w:ascii="Verdana" w:hAnsi="Verdana"/>
                <w:sz w:val="20"/>
                <w:szCs w:val="20"/>
              </w:rPr>
              <w:t>-</w:t>
            </w:r>
            <w:r>
              <w:rPr>
                <w:rFonts w:ascii="Verdana" w:hAnsi="Verdana"/>
                <w:sz w:val="20"/>
                <w:szCs w:val="20"/>
              </w:rPr>
              <w:t xml:space="preserve">  d</w:t>
            </w:r>
            <w:r w:rsidRPr="00252BD3">
              <w:rPr>
                <w:rFonts w:ascii="Verdana" w:hAnsi="Verdana"/>
                <w:sz w:val="20"/>
                <w:szCs w:val="20"/>
              </w:rPr>
              <w:t xml:space="preserve">er Verbrauch an Wärmeenergie zur Zellstoffproduktion über einen Zeitraum </w:t>
            </w:r>
          </w:p>
          <w:p w14:paraId="7484AB81" w14:textId="77777777" w:rsidR="0010631A"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von 12</w:t>
            </w:r>
            <w:r>
              <w:rPr>
                <w:rFonts w:ascii="Verdana" w:hAnsi="Verdana"/>
                <w:sz w:val="20"/>
                <w:szCs w:val="20"/>
              </w:rPr>
              <w:t xml:space="preserve"> </w:t>
            </w:r>
            <w:r w:rsidR="00252BD3" w:rsidRPr="00252BD3">
              <w:rPr>
                <w:rFonts w:ascii="Verdana" w:hAnsi="Verdana"/>
                <w:sz w:val="20"/>
                <w:szCs w:val="20"/>
              </w:rPr>
              <w:t xml:space="preserve">Monaten ermittelt und auf die Zellstoffproduktion (Tonnen lufttrocken) in </w:t>
            </w:r>
            <w:r>
              <w:rPr>
                <w:rFonts w:ascii="Verdana" w:hAnsi="Verdana"/>
                <w:sz w:val="20"/>
                <w:szCs w:val="20"/>
              </w:rPr>
              <w:t xml:space="preserve"> </w:t>
            </w:r>
          </w:p>
          <w:p w14:paraId="3901BBE6" w14:textId="177F79AE" w:rsidR="00252BD3" w:rsidRPr="00C32BC9" w:rsidRDefault="0010631A" w:rsidP="00252BD3">
            <w:pPr>
              <w:pStyle w:val="Textkrper"/>
              <w:tabs>
                <w:tab w:val="left" w:pos="8222"/>
              </w:tabs>
              <w:spacing w:line="240" w:lineRule="auto"/>
              <w:jc w:val="left"/>
              <w:rPr>
                <w:rFonts w:ascii="Verdana" w:hAnsi="Verdana"/>
                <w:sz w:val="20"/>
                <w:szCs w:val="20"/>
              </w:rPr>
            </w:pPr>
            <w:r>
              <w:rPr>
                <w:rFonts w:ascii="Verdana" w:hAnsi="Verdana"/>
                <w:sz w:val="20"/>
                <w:szCs w:val="20"/>
              </w:rPr>
              <w:t xml:space="preserve">   </w:t>
            </w:r>
            <w:r w:rsidR="00252BD3" w:rsidRPr="00252BD3">
              <w:rPr>
                <w:rFonts w:ascii="Verdana" w:hAnsi="Verdana"/>
                <w:sz w:val="20"/>
                <w:szCs w:val="20"/>
              </w:rPr>
              <w:t>diesem</w:t>
            </w:r>
            <w:r>
              <w:rPr>
                <w:rFonts w:ascii="Verdana" w:hAnsi="Verdana"/>
                <w:sz w:val="20"/>
                <w:szCs w:val="20"/>
              </w:rPr>
              <w:t xml:space="preserve"> </w:t>
            </w:r>
            <w:r w:rsidR="00252BD3" w:rsidRPr="00252BD3">
              <w:rPr>
                <w:rFonts w:ascii="Verdana" w:hAnsi="Verdana"/>
                <w:sz w:val="20"/>
                <w:szCs w:val="20"/>
              </w:rPr>
              <w:t>Zeitraum bezogen w</w:t>
            </w:r>
            <w:r w:rsidR="00252BD3">
              <w:rPr>
                <w:rFonts w:ascii="Verdana" w:hAnsi="Verdana"/>
                <w:sz w:val="20"/>
                <w:szCs w:val="20"/>
              </w:rPr>
              <w:t>ird</w:t>
            </w:r>
          </w:p>
        </w:tc>
      </w:tr>
      <w:tr w:rsidR="003835B5" w:rsidRPr="003C7026" w14:paraId="296250E4" w14:textId="77777777" w:rsidTr="00500850">
        <w:trPr>
          <w:trHeight w:val="516"/>
        </w:trPr>
        <w:tc>
          <w:tcPr>
            <w:tcW w:w="1231" w:type="dxa"/>
            <w:shd w:val="clear" w:color="auto" w:fill="auto"/>
          </w:tcPr>
          <w:p w14:paraId="67C8D26A" w14:textId="59C378C6" w:rsidR="003835B5" w:rsidRDefault="0073080D" w:rsidP="00500850">
            <w:pPr>
              <w:pStyle w:val="Textkrper"/>
              <w:tabs>
                <w:tab w:val="left" w:pos="8222"/>
              </w:tabs>
              <w:spacing w:line="240" w:lineRule="auto"/>
              <w:jc w:val="left"/>
              <w:rPr>
                <w:b/>
                <w:sz w:val="22"/>
              </w:rPr>
            </w:pPr>
            <w:r>
              <w:rPr>
                <w:b/>
                <w:sz w:val="22"/>
              </w:rPr>
              <w:lastRenderedPageBreak/>
              <w:t>3.2</w:t>
            </w:r>
            <w:r w:rsidR="003835B5">
              <w:rPr>
                <w:b/>
                <w:sz w:val="22"/>
              </w:rPr>
              <w:t>.5.4</w:t>
            </w:r>
          </w:p>
        </w:tc>
        <w:tc>
          <w:tcPr>
            <w:tcW w:w="8581" w:type="dxa"/>
            <w:shd w:val="clear" w:color="auto" w:fill="auto"/>
          </w:tcPr>
          <w:p w14:paraId="3A71B311" w14:textId="77777777" w:rsidR="00466663" w:rsidRDefault="007C76FD"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b</w:t>
            </w:r>
            <w:r w:rsidRPr="007C76FD">
              <w:rPr>
                <w:rFonts w:ascii="Verdana" w:hAnsi="Verdana"/>
                <w:bCs/>
                <w:sz w:val="20"/>
                <w:szCs w:val="20"/>
              </w:rPr>
              <w:t xml:space="preserve">ei der Produktion des Zellstoffs bei dessen Bleichverfahren folgende </w:t>
            </w:r>
          </w:p>
          <w:p w14:paraId="1A3E48CB" w14:textId="16AF6CBC" w:rsidR="007C76FD" w:rsidRPr="007C76FD"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Anforderungen erfüllt werden:</w:t>
            </w:r>
          </w:p>
          <w:p w14:paraId="5C5CC129" w14:textId="77777777" w:rsidR="00466663" w:rsidRDefault="007C76FD" w:rsidP="00466663">
            <w:pPr>
              <w:pStyle w:val="Textkrper"/>
              <w:tabs>
                <w:tab w:val="left" w:pos="8222"/>
              </w:tabs>
              <w:spacing w:line="240" w:lineRule="auto"/>
              <w:jc w:val="left"/>
              <w:rPr>
                <w:rFonts w:ascii="Verdana" w:hAnsi="Verdana"/>
                <w:bCs/>
                <w:sz w:val="20"/>
                <w:szCs w:val="20"/>
              </w:rPr>
            </w:pPr>
            <w:r w:rsidRPr="007C76FD">
              <w:rPr>
                <w:rFonts w:ascii="Verdana" w:hAnsi="Verdana"/>
                <w:bCs/>
                <w:sz w:val="20"/>
                <w:szCs w:val="20"/>
              </w:rPr>
              <w:t>•</w:t>
            </w:r>
            <w:r w:rsidRPr="007C76FD">
              <w:rPr>
                <w:rFonts w:ascii="Verdana" w:hAnsi="Verdana"/>
                <w:bCs/>
                <w:sz w:val="20"/>
                <w:szCs w:val="20"/>
              </w:rPr>
              <w:tab/>
              <w:t>Der Zellstoff darf nicht unter Verwendung von elementarem Chlor gebleicht</w:t>
            </w:r>
            <w:r w:rsidR="00466663">
              <w:rPr>
                <w:rFonts w:ascii="Verdana" w:hAnsi="Verdana"/>
                <w:bCs/>
                <w:sz w:val="20"/>
                <w:szCs w:val="20"/>
              </w:rPr>
              <w:t xml:space="preserve"> </w:t>
            </w:r>
          </w:p>
          <w:p w14:paraId="627B559B" w14:textId="0AF7D998" w:rsidR="007C76FD" w:rsidRPr="007C76FD"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werden.</w:t>
            </w:r>
          </w:p>
          <w:p w14:paraId="39C18AA8" w14:textId="77777777" w:rsidR="00466663" w:rsidRDefault="007C76FD" w:rsidP="00466663">
            <w:pPr>
              <w:pStyle w:val="Textkrper"/>
              <w:tabs>
                <w:tab w:val="left" w:pos="8222"/>
              </w:tabs>
              <w:spacing w:line="240" w:lineRule="auto"/>
              <w:jc w:val="left"/>
              <w:rPr>
                <w:rFonts w:ascii="Verdana" w:hAnsi="Verdana"/>
                <w:bCs/>
                <w:sz w:val="20"/>
                <w:szCs w:val="20"/>
              </w:rPr>
            </w:pPr>
            <w:r w:rsidRPr="007C76FD">
              <w:rPr>
                <w:rFonts w:ascii="Verdana" w:hAnsi="Verdana"/>
                <w:bCs/>
                <w:sz w:val="20"/>
                <w:szCs w:val="20"/>
              </w:rPr>
              <w:t>•</w:t>
            </w:r>
            <w:r w:rsidRPr="007C76FD">
              <w:rPr>
                <w:rFonts w:ascii="Verdana" w:hAnsi="Verdana"/>
                <w:bCs/>
                <w:sz w:val="20"/>
                <w:szCs w:val="20"/>
              </w:rPr>
              <w:tab/>
              <w:t xml:space="preserve">Die spezifische Verbrauchsmenge an biologisch schwer abbaubaren </w:t>
            </w:r>
          </w:p>
          <w:p w14:paraId="29D88444"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Komplexbildnern (Ethylendiamintetraacetat (EDTA) und</w:t>
            </w:r>
            <w:r>
              <w:rPr>
                <w:rFonts w:ascii="Verdana" w:hAnsi="Verdana"/>
                <w:bCs/>
                <w:sz w:val="20"/>
                <w:szCs w:val="20"/>
              </w:rPr>
              <w:t xml:space="preserve"> </w:t>
            </w:r>
          </w:p>
          <w:p w14:paraId="107F5BB9"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Diethylentriaminpentacetat (DTPA) muss als Jahresmittelwert in Kilogramm pro </w:t>
            </w:r>
          </w:p>
          <w:p w14:paraId="30900E8D" w14:textId="1A82BDC3" w:rsidR="007C76FD" w:rsidRPr="007C76FD"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Tonne lufttrocken angegeben werden.</w:t>
            </w:r>
          </w:p>
          <w:p w14:paraId="2C6B9788" w14:textId="77777777" w:rsidR="00466663" w:rsidRDefault="007C76FD" w:rsidP="00466663">
            <w:pPr>
              <w:pStyle w:val="Textkrper"/>
              <w:tabs>
                <w:tab w:val="left" w:pos="8222"/>
              </w:tabs>
              <w:spacing w:line="240" w:lineRule="auto"/>
              <w:jc w:val="left"/>
              <w:rPr>
                <w:rFonts w:ascii="Verdana" w:hAnsi="Verdana"/>
                <w:bCs/>
                <w:sz w:val="20"/>
                <w:szCs w:val="20"/>
              </w:rPr>
            </w:pPr>
            <w:r w:rsidRPr="007C76FD">
              <w:rPr>
                <w:rFonts w:ascii="Verdana" w:hAnsi="Verdana"/>
                <w:bCs/>
                <w:sz w:val="20"/>
                <w:szCs w:val="20"/>
              </w:rPr>
              <w:t>•</w:t>
            </w:r>
            <w:r w:rsidRPr="007C76FD">
              <w:rPr>
                <w:rFonts w:ascii="Verdana" w:hAnsi="Verdana"/>
                <w:bCs/>
                <w:sz w:val="20"/>
                <w:szCs w:val="20"/>
              </w:rPr>
              <w:tab/>
              <w:t xml:space="preserve">Als Bleichprozess ist das Verfahren einer total-chlorfreien Bleiche (TCF - total </w:t>
            </w:r>
            <w:r w:rsidR="00466663">
              <w:rPr>
                <w:rFonts w:ascii="Verdana" w:hAnsi="Verdana"/>
                <w:bCs/>
                <w:sz w:val="20"/>
                <w:szCs w:val="20"/>
              </w:rPr>
              <w:t xml:space="preserve">  </w:t>
            </w:r>
          </w:p>
          <w:p w14:paraId="767B2CA6"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chlorine free) zu bevorzugen, eine elementarchlorfreie Bleiche (ECF – elemental </w:t>
            </w:r>
          </w:p>
          <w:p w14:paraId="115A1EA8"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chlorine free) ist jedoch zulässig. In diesem Fall muss die spezifische </w:t>
            </w:r>
          </w:p>
          <w:p w14:paraId="0DE6043B"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Verbrauchsmenge an Bleichmittel als Jahresmittelwert in Kilogramm ClO2 pro </w:t>
            </w:r>
          </w:p>
          <w:p w14:paraId="617690FA"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Tonne lufttrocken angegeben werden. Die adsorbierbaren organisch </w:t>
            </w:r>
          </w:p>
          <w:p w14:paraId="522829E7"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gebundenen Halogene (AOX) müssen im Abwasser gemessen werden. Der </w:t>
            </w:r>
          </w:p>
          <w:p w14:paraId="5F07034D" w14:textId="77777777" w:rsidR="00466663"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 xml:space="preserve">Jahresmittelwert der gemessenen AOX-Emissionen im Abwasser darf einen </w:t>
            </w:r>
          </w:p>
          <w:p w14:paraId="1E3D1BDB" w14:textId="5E3D72C5" w:rsidR="003835B5" w:rsidRDefault="00466663" w:rsidP="00466663">
            <w:pPr>
              <w:pStyle w:val="Textkrper"/>
              <w:tabs>
                <w:tab w:val="left" w:pos="8222"/>
              </w:tabs>
              <w:spacing w:line="240" w:lineRule="auto"/>
              <w:jc w:val="left"/>
              <w:rPr>
                <w:rFonts w:ascii="Verdana" w:hAnsi="Verdana"/>
                <w:bCs/>
                <w:sz w:val="20"/>
                <w:szCs w:val="20"/>
              </w:rPr>
            </w:pPr>
            <w:r>
              <w:rPr>
                <w:rFonts w:ascii="Verdana" w:hAnsi="Verdana"/>
                <w:bCs/>
                <w:sz w:val="20"/>
                <w:szCs w:val="20"/>
              </w:rPr>
              <w:t xml:space="preserve">    </w:t>
            </w:r>
            <w:r w:rsidR="007C76FD" w:rsidRPr="007C76FD">
              <w:rPr>
                <w:rFonts w:ascii="Verdana" w:hAnsi="Verdana"/>
                <w:bCs/>
                <w:sz w:val="20"/>
                <w:szCs w:val="20"/>
              </w:rPr>
              <w:t>Wert von 0,10 Kilogramm AOX pro Tonne lufttrocken nicht übersteigen.</w:t>
            </w:r>
          </w:p>
        </w:tc>
      </w:tr>
      <w:tr w:rsidR="003835B5" w:rsidRPr="003C7026" w14:paraId="724D48BF" w14:textId="77777777" w:rsidTr="00500850">
        <w:trPr>
          <w:trHeight w:val="516"/>
        </w:trPr>
        <w:tc>
          <w:tcPr>
            <w:tcW w:w="1231" w:type="dxa"/>
            <w:shd w:val="clear" w:color="auto" w:fill="auto"/>
          </w:tcPr>
          <w:p w14:paraId="46119740" w14:textId="1BF70169" w:rsidR="003835B5" w:rsidRDefault="0073080D" w:rsidP="00500850">
            <w:pPr>
              <w:pStyle w:val="Textkrper"/>
              <w:tabs>
                <w:tab w:val="left" w:pos="8222"/>
              </w:tabs>
              <w:spacing w:line="240" w:lineRule="auto"/>
              <w:jc w:val="left"/>
              <w:rPr>
                <w:b/>
                <w:sz w:val="22"/>
              </w:rPr>
            </w:pPr>
            <w:r>
              <w:rPr>
                <w:b/>
                <w:sz w:val="22"/>
              </w:rPr>
              <w:t>3.2</w:t>
            </w:r>
            <w:r w:rsidR="003835B5">
              <w:rPr>
                <w:b/>
                <w:sz w:val="22"/>
              </w:rPr>
              <w:t>.6.1</w:t>
            </w:r>
          </w:p>
        </w:tc>
        <w:tc>
          <w:tcPr>
            <w:tcW w:w="8581" w:type="dxa"/>
            <w:shd w:val="clear" w:color="auto" w:fill="auto"/>
          </w:tcPr>
          <w:p w14:paraId="2CF6BCBA" w14:textId="2C84F225" w:rsidR="003835B5" w:rsidRDefault="003835B5" w:rsidP="003835B5">
            <w:pPr>
              <w:pStyle w:val="Textkrper"/>
              <w:tabs>
                <w:tab w:val="left" w:pos="8222"/>
              </w:tabs>
              <w:spacing w:line="240" w:lineRule="auto"/>
              <w:ind w:left="155" w:hanging="155"/>
              <w:jc w:val="left"/>
              <w:rPr>
                <w:rFonts w:ascii="Verdana" w:hAnsi="Verdana"/>
                <w:sz w:val="20"/>
                <w:szCs w:val="20"/>
              </w:rPr>
            </w:pPr>
            <w:r w:rsidRPr="00011D99">
              <w:rPr>
                <w:rFonts w:ascii="Verdana" w:hAnsi="Verdana"/>
                <w:sz w:val="20"/>
                <w:szCs w:val="20"/>
              </w:rPr>
              <w:t xml:space="preserve">- als </w:t>
            </w:r>
            <w:r w:rsidRPr="00011D99">
              <w:rPr>
                <w:rFonts w:ascii="Verdana" w:hAnsi="Verdana"/>
                <w:b/>
                <w:sz w:val="20"/>
                <w:szCs w:val="20"/>
              </w:rPr>
              <w:t xml:space="preserve">Direkteinleiter </w:t>
            </w:r>
            <w:r w:rsidRPr="00011D99">
              <w:rPr>
                <w:rFonts w:ascii="Verdana" w:hAnsi="Verdana"/>
                <w:sz w:val="20"/>
                <w:szCs w:val="20"/>
              </w:rPr>
              <w:t xml:space="preserve">die Emissionswerte gemäß Tabelle </w:t>
            </w:r>
            <w:r w:rsidR="00466663">
              <w:rPr>
                <w:rFonts w:ascii="Verdana" w:hAnsi="Verdana"/>
                <w:sz w:val="20"/>
                <w:szCs w:val="20"/>
              </w:rPr>
              <w:t>2</w:t>
            </w:r>
            <w:r>
              <w:rPr>
                <w:rFonts w:ascii="Verdana" w:hAnsi="Verdana"/>
                <w:sz w:val="20"/>
                <w:szCs w:val="20"/>
              </w:rPr>
              <w:t xml:space="preserve"> </w:t>
            </w:r>
            <w:r w:rsidRPr="00011D99">
              <w:rPr>
                <w:rFonts w:ascii="Verdana" w:hAnsi="Verdana"/>
                <w:sz w:val="20"/>
                <w:szCs w:val="20"/>
              </w:rPr>
              <w:t>eingehalten w</w:t>
            </w:r>
            <w:r>
              <w:rPr>
                <w:rFonts w:ascii="Verdana" w:hAnsi="Verdana"/>
                <w:sz w:val="20"/>
                <w:szCs w:val="20"/>
              </w:rPr>
              <w:t>u</w:t>
            </w:r>
            <w:r w:rsidRPr="00011D99">
              <w:rPr>
                <w:rFonts w:ascii="Verdana" w:hAnsi="Verdana"/>
                <w:sz w:val="20"/>
                <w:szCs w:val="20"/>
              </w:rPr>
              <w:t>rden,</w:t>
            </w:r>
          </w:p>
          <w:p w14:paraId="3A5CF2EF" w14:textId="77777777" w:rsidR="003835B5" w:rsidRDefault="003835B5" w:rsidP="007C76FD">
            <w:pPr>
              <w:pStyle w:val="Textkrper"/>
              <w:tabs>
                <w:tab w:val="left" w:pos="8222"/>
              </w:tabs>
              <w:spacing w:line="240" w:lineRule="auto"/>
              <w:jc w:val="left"/>
            </w:pPr>
          </w:p>
          <w:p w14:paraId="1AE09F61" w14:textId="53326173" w:rsidR="003835B5" w:rsidRPr="00011D99" w:rsidRDefault="003835B5" w:rsidP="003835B5">
            <w:pPr>
              <w:pStyle w:val="Standardklein"/>
              <w:rPr>
                <w:sz w:val="20"/>
                <w:szCs w:val="20"/>
              </w:rPr>
            </w:pPr>
            <w:r>
              <w:t xml:space="preserve">Tabelle </w:t>
            </w:r>
            <w:r w:rsidR="00466663">
              <w:t>2</w:t>
            </w:r>
            <w:r>
              <w:t xml:space="preserve">: </w:t>
            </w:r>
            <w:r w:rsidRPr="00D14590">
              <w:t>Zulässige Höchstwerte für Emissionsparameter (Abwasser) bei der Papierherstellung als Jahresmittelwerte</w:t>
            </w:r>
          </w:p>
          <w:tbl>
            <w:tblPr>
              <w:tblStyle w:val="TabellefrVergabegrundlageKopfzeilegrau"/>
              <w:tblW w:w="0" w:type="auto"/>
              <w:tblLook w:val="04A0" w:firstRow="1" w:lastRow="0" w:firstColumn="1" w:lastColumn="0" w:noHBand="0" w:noVBand="1"/>
            </w:tblPr>
            <w:tblGrid>
              <w:gridCol w:w="2943"/>
              <w:gridCol w:w="2915"/>
            </w:tblGrid>
            <w:tr w:rsidR="003835B5" w14:paraId="7B966140" w14:textId="251C99C0" w:rsidTr="003835B5">
              <w:trPr>
                <w:cnfStyle w:val="100000000000" w:firstRow="1" w:lastRow="0" w:firstColumn="0" w:lastColumn="0" w:oddVBand="0" w:evenVBand="0" w:oddHBand="0" w:evenHBand="0" w:firstRowFirstColumn="0" w:firstRowLastColumn="0" w:lastRowFirstColumn="0" w:lastRowLastColumn="0"/>
              </w:trPr>
              <w:tc>
                <w:tcPr>
                  <w:tcW w:w="2943" w:type="dxa"/>
                </w:tcPr>
                <w:p w14:paraId="364F1CF0" w14:textId="77777777" w:rsidR="003835B5" w:rsidRDefault="003835B5" w:rsidP="003835B5">
                  <w:pPr>
                    <w:pStyle w:val="Tabellentextfettkleinlinksbndig"/>
                  </w:pPr>
                  <w:r w:rsidRPr="00D14590">
                    <w:t>Parameter</w:t>
                  </w:r>
                </w:p>
              </w:tc>
              <w:tc>
                <w:tcPr>
                  <w:tcW w:w="2915" w:type="dxa"/>
                </w:tcPr>
                <w:p w14:paraId="55432946" w14:textId="28D99AE0" w:rsidR="003835B5" w:rsidRPr="00D14590" w:rsidRDefault="003835B5" w:rsidP="003835B5">
                  <w:pPr>
                    <w:pStyle w:val="Tabellentextfettkleinlinksbndig"/>
                  </w:pPr>
                  <w:r>
                    <w:t>Zulässiger Höchstwert</w:t>
                  </w:r>
                </w:p>
              </w:tc>
            </w:tr>
            <w:tr w:rsidR="003835B5" w14:paraId="71C5EF8F" w14:textId="77777777" w:rsidTr="003835B5">
              <w:tc>
                <w:tcPr>
                  <w:tcW w:w="2943" w:type="dxa"/>
                </w:tcPr>
                <w:p w14:paraId="6DED63DE" w14:textId="77777777" w:rsidR="003835B5" w:rsidRPr="00406B3F" w:rsidRDefault="003835B5" w:rsidP="003835B5">
                  <w:pPr>
                    <w:pStyle w:val="Tabellentextstandardkleinlinksbndig"/>
                  </w:pPr>
                  <w:r w:rsidRPr="00D14590">
                    <w:t>Abwasser-Volumenstrom</w:t>
                  </w:r>
                </w:p>
              </w:tc>
              <w:tc>
                <w:tcPr>
                  <w:tcW w:w="2915" w:type="dxa"/>
                </w:tcPr>
                <w:p w14:paraId="63DBF641" w14:textId="51FC01CF" w:rsidR="003835B5" w:rsidRPr="00D14590" w:rsidRDefault="00466663" w:rsidP="003835B5">
                  <w:pPr>
                    <w:pStyle w:val="Tabellentextstandardkleinlinksbndig"/>
                  </w:pPr>
                  <w:r>
                    <w:t>2</w:t>
                  </w:r>
                  <w:r w:rsidR="003835B5">
                    <w:t>0</w:t>
                  </w:r>
                  <w:r w:rsidR="003835B5" w:rsidRPr="00406B3F">
                    <w:t xml:space="preserve"> m³/Adt</w:t>
                  </w:r>
                </w:p>
              </w:tc>
            </w:tr>
            <w:tr w:rsidR="003835B5" w14:paraId="786118A2" w14:textId="77777777" w:rsidTr="003835B5">
              <w:tc>
                <w:tcPr>
                  <w:tcW w:w="2943" w:type="dxa"/>
                </w:tcPr>
                <w:p w14:paraId="51842594" w14:textId="77777777" w:rsidR="003835B5" w:rsidRPr="00406B3F" w:rsidRDefault="003835B5" w:rsidP="003835B5">
                  <w:pPr>
                    <w:pStyle w:val="Tabellentextstandardkleinlinksbndig"/>
                  </w:pPr>
                  <w:r w:rsidRPr="00D14590">
                    <w:t>CSB</w:t>
                  </w:r>
                </w:p>
              </w:tc>
              <w:tc>
                <w:tcPr>
                  <w:tcW w:w="2915" w:type="dxa"/>
                </w:tcPr>
                <w:p w14:paraId="275383AC" w14:textId="19145A19" w:rsidR="003835B5" w:rsidRPr="00D14590" w:rsidRDefault="00466663" w:rsidP="003835B5">
                  <w:pPr>
                    <w:pStyle w:val="Tabellentextstandardkleinlinksbndig"/>
                  </w:pPr>
                  <w:r>
                    <w:t>3</w:t>
                  </w:r>
                  <w:r w:rsidR="003835B5" w:rsidRPr="00D14590">
                    <w:t xml:space="preserve"> kg/Adt</w:t>
                  </w:r>
                </w:p>
              </w:tc>
            </w:tr>
            <w:tr w:rsidR="003835B5" w14:paraId="40F0BB0F" w14:textId="77777777" w:rsidTr="003835B5">
              <w:tc>
                <w:tcPr>
                  <w:tcW w:w="2943" w:type="dxa"/>
                </w:tcPr>
                <w:p w14:paraId="3FFAE8F3" w14:textId="77777777" w:rsidR="003835B5" w:rsidRPr="00406B3F" w:rsidRDefault="003835B5" w:rsidP="003835B5">
                  <w:pPr>
                    <w:pStyle w:val="Tabellentextstandardkleinlinksbndig"/>
                  </w:pPr>
                  <w:r w:rsidRPr="00D14590">
                    <w:t>BSB</w:t>
                  </w:r>
                  <w:r w:rsidRPr="003835B5">
                    <w:rPr>
                      <w:vertAlign w:val="subscript"/>
                    </w:rPr>
                    <w:t>5</w:t>
                  </w:r>
                </w:p>
              </w:tc>
              <w:tc>
                <w:tcPr>
                  <w:tcW w:w="2915" w:type="dxa"/>
                </w:tcPr>
                <w:p w14:paraId="7461B3EA" w14:textId="3CD135F1" w:rsidR="003835B5" w:rsidRPr="001B43D7" w:rsidRDefault="003835B5" w:rsidP="003835B5">
                  <w:pPr>
                    <w:pStyle w:val="Tabellentextstandardkleinlinksbndig"/>
                  </w:pPr>
                  <w:r w:rsidRPr="001B43D7">
                    <w:t>0,15 kg/Adt oder 25 mg/l</w:t>
                  </w:r>
                </w:p>
              </w:tc>
            </w:tr>
            <w:tr w:rsidR="003835B5" w14:paraId="005A8DA0" w14:textId="77777777" w:rsidTr="003835B5">
              <w:tc>
                <w:tcPr>
                  <w:tcW w:w="2943" w:type="dxa"/>
                </w:tcPr>
                <w:p w14:paraId="6AFACD2E" w14:textId="5EE03FFA" w:rsidR="003835B5" w:rsidRPr="00D14590" w:rsidRDefault="003835B5" w:rsidP="003835B5">
                  <w:pPr>
                    <w:pStyle w:val="Tabellentextstandardkleinlinksbndig"/>
                  </w:pPr>
                  <w:r>
                    <w:t>Abfiltrierbare Stoffe</w:t>
                  </w:r>
                </w:p>
              </w:tc>
              <w:tc>
                <w:tcPr>
                  <w:tcW w:w="2915" w:type="dxa"/>
                </w:tcPr>
                <w:p w14:paraId="329E5CCA" w14:textId="0D9B4E32" w:rsidR="003835B5" w:rsidRPr="001B43D7" w:rsidRDefault="003835B5" w:rsidP="003835B5">
                  <w:pPr>
                    <w:pStyle w:val="Tabellentextstandardkleinlinksbndig"/>
                  </w:pPr>
                  <w:r>
                    <w:t>0,20 kg/Adt</w:t>
                  </w:r>
                </w:p>
              </w:tc>
            </w:tr>
            <w:tr w:rsidR="003835B5" w14:paraId="542F071C" w14:textId="77777777" w:rsidTr="003835B5">
              <w:tc>
                <w:tcPr>
                  <w:tcW w:w="2943" w:type="dxa"/>
                </w:tcPr>
                <w:p w14:paraId="6E44FD45" w14:textId="77777777" w:rsidR="003835B5" w:rsidRPr="00406B3F" w:rsidRDefault="003835B5" w:rsidP="003835B5">
                  <w:pPr>
                    <w:pStyle w:val="Tabellentextstandardkleinlinksbndig"/>
                  </w:pPr>
                  <w:r w:rsidRPr="00D14590">
                    <w:t>AOX</w:t>
                  </w:r>
                </w:p>
              </w:tc>
              <w:tc>
                <w:tcPr>
                  <w:tcW w:w="2915" w:type="dxa"/>
                </w:tcPr>
                <w:p w14:paraId="2B7DB1EB" w14:textId="7D526D33" w:rsidR="003835B5" w:rsidRPr="00D14590" w:rsidRDefault="003835B5" w:rsidP="003835B5">
                  <w:pPr>
                    <w:pStyle w:val="Tabellentextstandardkleinlinksbndig"/>
                  </w:pPr>
                  <w:r>
                    <w:t xml:space="preserve">&lt; </w:t>
                  </w:r>
                  <w:r w:rsidRPr="00D14590">
                    <w:t>0,01 kg/Adt</w:t>
                  </w:r>
                </w:p>
              </w:tc>
            </w:tr>
            <w:tr w:rsidR="003835B5" w14:paraId="608EA8B0" w14:textId="77777777" w:rsidTr="003835B5">
              <w:tc>
                <w:tcPr>
                  <w:tcW w:w="2943" w:type="dxa"/>
                </w:tcPr>
                <w:p w14:paraId="2B3097C3" w14:textId="77777777" w:rsidR="003835B5" w:rsidRPr="00406B3F" w:rsidRDefault="003835B5" w:rsidP="003835B5">
                  <w:pPr>
                    <w:pStyle w:val="Tabellentextstandardkleinlinksbndig"/>
                  </w:pPr>
                  <w:r w:rsidRPr="00D14590">
                    <w:t>Gesamt N (anorganisch + organisch N) (TN</w:t>
                  </w:r>
                  <w:r w:rsidRPr="003835B5">
                    <w:rPr>
                      <w:vertAlign w:val="subscript"/>
                    </w:rPr>
                    <w:t>b</w:t>
                  </w:r>
                  <w:r w:rsidRPr="00D14590">
                    <w:t>)</w:t>
                  </w:r>
                </w:p>
              </w:tc>
              <w:tc>
                <w:tcPr>
                  <w:tcW w:w="2915" w:type="dxa"/>
                </w:tcPr>
                <w:p w14:paraId="1DF83498" w14:textId="3DD8596F" w:rsidR="003835B5" w:rsidRPr="00D14590" w:rsidRDefault="003835B5" w:rsidP="003835B5">
                  <w:pPr>
                    <w:pStyle w:val="Tabellentextstandardkleinlinksbndig"/>
                  </w:pPr>
                  <w:r w:rsidRPr="00D14590">
                    <w:t>0,</w:t>
                  </w:r>
                  <w:r w:rsidR="00466663">
                    <w:t>07</w:t>
                  </w:r>
                  <w:r w:rsidRPr="00406B3F">
                    <w:t xml:space="preserve"> kg/Adt oder 15 mg/l</w:t>
                  </w:r>
                </w:p>
              </w:tc>
            </w:tr>
            <w:tr w:rsidR="003835B5" w14:paraId="43276D22" w14:textId="77777777" w:rsidTr="003835B5">
              <w:tc>
                <w:tcPr>
                  <w:tcW w:w="2943" w:type="dxa"/>
                </w:tcPr>
                <w:p w14:paraId="5BEA4DD7" w14:textId="77777777" w:rsidR="003835B5" w:rsidRPr="00406B3F" w:rsidRDefault="003835B5" w:rsidP="003835B5">
                  <w:pPr>
                    <w:pStyle w:val="Tabellentextstandardkleinlinksbndig"/>
                  </w:pPr>
                  <w:r w:rsidRPr="00D14590">
                    <w:t>Gesamt-P</w:t>
                  </w:r>
                </w:p>
              </w:tc>
              <w:tc>
                <w:tcPr>
                  <w:tcW w:w="2915" w:type="dxa"/>
                </w:tcPr>
                <w:p w14:paraId="4FAD6A57" w14:textId="1615044D" w:rsidR="003835B5" w:rsidRPr="00D14590" w:rsidRDefault="003835B5" w:rsidP="003835B5">
                  <w:pPr>
                    <w:pStyle w:val="Tabellentextstandardkleinlinksbndig"/>
                  </w:pPr>
                  <w:r w:rsidRPr="00D14590">
                    <w:t>0,0</w:t>
                  </w:r>
                  <w:r w:rsidR="00C02B02">
                    <w:t>0</w:t>
                  </w:r>
                  <w:r w:rsidR="00466663">
                    <w:t>8</w:t>
                  </w:r>
                  <w:r w:rsidRPr="00406B3F">
                    <w:t xml:space="preserve"> kg/Adt oder 1</w:t>
                  </w:r>
                  <w:r w:rsidR="00466663">
                    <w:t>,2</w:t>
                  </w:r>
                  <w:r w:rsidRPr="00406B3F">
                    <w:t xml:space="preserve"> mg/l</w:t>
                  </w:r>
                </w:p>
              </w:tc>
            </w:tr>
          </w:tbl>
          <w:p w14:paraId="5A928592" w14:textId="77777777" w:rsidR="003835B5" w:rsidRDefault="003835B5" w:rsidP="003835B5">
            <w:pPr>
              <w:pStyle w:val="Standardklein"/>
            </w:pPr>
            <w:r w:rsidRPr="00D032F6">
              <w:t xml:space="preserve">Adt = Tonne luftgetrocknetes Papier (Air dried ton) </w:t>
            </w:r>
          </w:p>
          <w:p w14:paraId="421B122C" w14:textId="77777777" w:rsidR="003835B5" w:rsidRDefault="003835B5" w:rsidP="003835B5">
            <w:pPr>
              <w:pStyle w:val="Standardklein"/>
            </w:pPr>
            <w:r>
              <w:t>CSB = Chemischer Sauerstoffbedarf</w:t>
            </w:r>
          </w:p>
          <w:p w14:paraId="2394FD8C" w14:textId="77777777" w:rsidR="003835B5" w:rsidRDefault="003835B5" w:rsidP="003835B5">
            <w:pPr>
              <w:pStyle w:val="Standardklein"/>
            </w:pPr>
            <w:r>
              <w:t>BSB5 = Biologischer Sauerstofbedarf (5 Tage)</w:t>
            </w:r>
          </w:p>
          <w:p w14:paraId="25CFBC5A" w14:textId="77777777" w:rsidR="003835B5" w:rsidRDefault="003835B5" w:rsidP="003835B5">
            <w:pPr>
              <w:pStyle w:val="Standardklein"/>
            </w:pPr>
            <w:r>
              <w:t>AOX = Adsorbierbare Organisch gebundene Halogene</w:t>
            </w:r>
          </w:p>
          <w:p w14:paraId="2D799007" w14:textId="77777777" w:rsidR="003835B5" w:rsidRDefault="003835B5" w:rsidP="003835B5">
            <w:pPr>
              <w:pStyle w:val="Standardklein"/>
            </w:pPr>
            <w:r>
              <w:t xml:space="preserve">Gesamt N = Gesamt Stickstoff </w:t>
            </w:r>
            <w:r w:rsidRPr="00D032F6">
              <w:t xml:space="preserve">TNb = Gesamter gebundener Stickstoff (engl. </w:t>
            </w:r>
            <w:r>
              <w:t>T</w:t>
            </w:r>
            <w:r w:rsidRPr="00D032F6">
              <w:t xml:space="preserve">otal </w:t>
            </w:r>
            <w:r>
              <w:t>N</w:t>
            </w:r>
            <w:r w:rsidRPr="00D032F6">
              <w:t>itrogen bound)</w:t>
            </w:r>
            <w:r>
              <w:t>.</w:t>
            </w:r>
            <w:r>
              <w:rPr>
                <w:rStyle w:val="Funotenzeichen"/>
              </w:rPr>
              <w:footnoteReference w:id="1"/>
            </w:r>
          </w:p>
          <w:p w14:paraId="2B973363" w14:textId="77777777" w:rsidR="003835B5" w:rsidRDefault="003835B5" w:rsidP="003835B5">
            <w:pPr>
              <w:pStyle w:val="Standardklein"/>
            </w:pPr>
            <w:r>
              <w:t xml:space="preserve">Gesamt P = </w:t>
            </w:r>
            <w:proofErr w:type="gramStart"/>
            <w:r>
              <w:t>Gesamt Phosphor</w:t>
            </w:r>
            <w:proofErr w:type="gramEnd"/>
          </w:p>
          <w:p w14:paraId="2BE45994" w14:textId="40152EFE" w:rsidR="003835B5" w:rsidRDefault="003835B5" w:rsidP="003835B5">
            <w:pPr>
              <w:pStyle w:val="Textkrper"/>
              <w:tabs>
                <w:tab w:val="left" w:pos="8222"/>
              </w:tabs>
              <w:spacing w:line="240" w:lineRule="auto"/>
              <w:jc w:val="left"/>
              <w:rPr>
                <w:rFonts w:ascii="Verdana" w:hAnsi="Verdana"/>
                <w:bCs/>
                <w:sz w:val="20"/>
                <w:szCs w:val="20"/>
              </w:rPr>
            </w:pPr>
            <w:r w:rsidRPr="00011D99">
              <w:rPr>
                <w:rFonts w:ascii="Verdana" w:hAnsi="Verdana"/>
                <w:sz w:val="20"/>
                <w:szCs w:val="20"/>
              </w:rPr>
              <w:t xml:space="preserve">-als </w:t>
            </w:r>
            <w:r w:rsidRPr="00011D99">
              <w:rPr>
                <w:rFonts w:ascii="Verdana" w:hAnsi="Verdana"/>
                <w:b/>
                <w:sz w:val="20"/>
                <w:szCs w:val="20"/>
              </w:rPr>
              <w:t>Indirekteinleiter</w:t>
            </w:r>
            <w:r w:rsidRPr="00011D99">
              <w:rPr>
                <w:rFonts w:ascii="Verdana" w:hAnsi="Verdana"/>
                <w:sz w:val="20"/>
                <w:szCs w:val="20"/>
              </w:rPr>
              <w:t xml:space="preserve"> die Grenzwerte in der Tabelle </w:t>
            </w:r>
            <w:r w:rsidR="00466663">
              <w:rPr>
                <w:rFonts w:ascii="Verdana" w:hAnsi="Verdana"/>
                <w:sz w:val="20"/>
                <w:szCs w:val="20"/>
              </w:rPr>
              <w:t>2</w:t>
            </w:r>
            <w:r>
              <w:rPr>
                <w:rFonts w:ascii="Verdana" w:hAnsi="Verdana"/>
                <w:sz w:val="20"/>
                <w:szCs w:val="20"/>
              </w:rPr>
              <w:t xml:space="preserve"> </w:t>
            </w:r>
            <w:r w:rsidRPr="00011D99">
              <w:rPr>
                <w:rFonts w:ascii="Verdana" w:hAnsi="Verdana"/>
                <w:sz w:val="20"/>
                <w:szCs w:val="20"/>
              </w:rPr>
              <w:t xml:space="preserve">und insbesondere für den </w:t>
            </w:r>
            <w:r w:rsidRPr="00434333">
              <w:rPr>
                <w:rFonts w:ascii="Verdana" w:hAnsi="Verdana"/>
                <w:sz w:val="20"/>
                <w:szCs w:val="20"/>
              </w:rPr>
              <w:t>Abwasser-Volumenstrom und den AOX</w:t>
            </w:r>
            <w:r w:rsidRPr="00011D99">
              <w:rPr>
                <w:rFonts w:ascii="Verdana" w:hAnsi="Verdana"/>
                <w:sz w:val="20"/>
                <w:szCs w:val="20"/>
              </w:rPr>
              <w:t>-Wert am Ort der Vermischung, eingehalten w</w:t>
            </w:r>
            <w:r>
              <w:rPr>
                <w:rFonts w:ascii="Verdana" w:hAnsi="Verdana"/>
                <w:sz w:val="20"/>
                <w:szCs w:val="20"/>
              </w:rPr>
              <w:t>u</w:t>
            </w:r>
            <w:r w:rsidRPr="00011D99">
              <w:rPr>
                <w:rFonts w:ascii="Verdana" w:hAnsi="Verdana"/>
                <w:sz w:val="20"/>
                <w:szCs w:val="20"/>
              </w:rPr>
              <w:t>rden,</w:t>
            </w:r>
          </w:p>
        </w:tc>
      </w:tr>
      <w:tr w:rsidR="00225879" w:rsidRPr="003C7026" w14:paraId="633A5BC3" w14:textId="77777777" w:rsidTr="00500850">
        <w:trPr>
          <w:trHeight w:val="516"/>
        </w:trPr>
        <w:tc>
          <w:tcPr>
            <w:tcW w:w="1231" w:type="dxa"/>
            <w:shd w:val="clear" w:color="auto" w:fill="auto"/>
          </w:tcPr>
          <w:p w14:paraId="38563CDA" w14:textId="76C1DC08" w:rsidR="00225879" w:rsidRDefault="0073080D" w:rsidP="00500850">
            <w:pPr>
              <w:pStyle w:val="Textkrper"/>
              <w:tabs>
                <w:tab w:val="left" w:pos="8222"/>
              </w:tabs>
              <w:spacing w:line="240" w:lineRule="auto"/>
              <w:jc w:val="left"/>
              <w:rPr>
                <w:b/>
                <w:sz w:val="22"/>
              </w:rPr>
            </w:pPr>
            <w:r>
              <w:rPr>
                <w:b/>
                <w:sz w:val="22"/>
              </w:rPr>
              <w:t>3.2</w:t>
            </w:r>
            <w:r w:rsidR="00225879">
              <w:rPr>
                <w:b/>
                <w:sz w:val="22"/>
              </w:rPr>
              <w:t>.6.2</w:t>
            </w:r>
          </w:p>
        </w:tc>
        <w:tc>
          <w:tcPr>
            <w:tcW w:w="8581" w:type="dxa"/>
            <w:shd w:val="clear" w:color="auto" w:fill="auto"/>
          </w:tcPr>
          <w:p w14:paraId="057BF9A8" w14:textId="77777777" w:rsidR="005943A7" w:rsidRDefault="00225879" w:rsidP="00225879">
            <w:pPr>
              <w:pStyle w:val="Standardklein"/>
              <w:spacing w:line="240" w:lineRule="auto"/>
              <w:rPr>
                <w:sz w:val="20"/>
                <w:szCs w:val="20"/>
              </w:rPr>
            </w:pPr>
            <w:r>
              <w:rPr>
                <w:sz w:val="20"/>
                <w:szCs w:val="20"/>
              </w:rPr>
              <w:t>- b</w:t>
            </w:r>
            <w:r w:rsidRPr="00225879">
              <w:rPr>
                <w:sz w:val="20"/>
                <w:szCs w:val="20"/>
              </w:rPr>
              <w:t xml:space="preserve">ei der Herstellung von Koch- und Heißfilterpapieren folgende Werte für den </w:t>
            </w:r>
          </w:p>
          <w:p w14:paraId="56FC7E57" w14:textId="77777777" w:rsidR="005943A7" w:rsidRDefault="005943A7" w:rsidP="00225879">
            <w:pPr>
              <w:pStyle w:val="Standardklein"/>
              <w:spacing w:line="240" w:lineRule="auto"/>
              <w:rPr>
                <w:sz w:val="20"/>
                <w:szCs w:val="20"/>
              </w:rPr>
            </w:pPr>
            <w:r>
              <w:rPr>
                <w:sz w:val="20"/>
                <w:szCs w:val="20"/>
              </w:rPr>
              <w:t xml:space="preserve">  </w:t>
            </w:r>
            <w:r w:rsidR="00225879" w:rsidRPr="00225879">
              <w:rPr>
                <w:sz w:val="20"/>
                <w:szCs w:val="20"/>
              </w:rPr>
              <w:t>Strom-</w:t>
            </w:r>
            <w:r>
              <w:rPr>
                <w:sz w:val="20"/>
                <w:szCs w:val="20"/>
              </w:rPr>
              <w:t xml:space="preserve"> </w:t>
            </w:r>
            <w:r w:rsidR="00225879" w:rsidRPr="00225879">
              <w:rPr>
                <w:sz w:val="20"/>
                <w:szCs w:val="20"/>
              </w:rPr>
              <w:t>bzw. Prozesswärmeverbrauch als Jahresmittelwerte nicht überschr</w:t>
            </w:r>
            <w:r w:rsidR="00225879">
              <w:rPr>
                <w:sz w:val="20"/>
                <w:szCs w:val="20"/>
              </w:rPr>
              <w:t xml:space="preserve">itten </w:t>
            </w:r>
            <w:r>
              <w:rPr>
                <w:sz w:val="20"/>
                <w:szCs w:val="20"/>
              </w:rPr>
              <w:t xml:space="preserve"> </w:t>
            </w:r>
          </w:p>
          <w:p w14:paraId="203CF6E9" w14:textId="06B96B4F" w:rsidR="00225879" w:rsidRPr="00225879" w:rsidRDefault="005943A7" w:rsidP="00225879">
            <w:pPr>
              <w:pStyle w:val="Standardklein"/>
              <w:spacing w:line="240" w:lineRule="auto"/>
              <w:rPr>
                <w:sz w:val="20"/>
                <w:szCs w:val="20"/>
              </w:rPr>
            </w:pPr>
            <w:r>
              <w:rPr>
                <w:sz w:val="20"/>
                <w:szCs w:val="20"/>
              </w:rPr>
              <w:t xml:space="preserve">  </w:t>
            </w:r>
            <w:r w:rsidR="00225879">
              <w:rPr>
                <w:sz w:val="20"/>
                <w:szCs w:val="20"/>
              </w:rPr>
              <w:t>werden</w:t>
            </w:r>
            <w:r w:rsidR="00225879" w:rsidRPr="00225879">
              <w:rPr>
                <w:sz w:val="20"/>
                <w:szCs w:val="20"/>
              </w:rPr>
              <w:t xml:space="preserve">: </w:t>
            </w:r>
          </w:p>
          <w:p w14:paraId="5DD91405" w14:textId="1A0D1CC2" w:rsidR="00225879" w:rsidRPr="00225879" w:rsidRDefault="00225879" w:rsidP="00225879">
            <w:pPr>
              <w:pStyle w:val="Standardklein"/>
              <w:rPr>
                <w:sz w:val="20"/>
                <w:szCs w:val="20"/>
              </w:rPr>
            </w:pPr>
            <w:r>
              <w:rPr>
                <w:sz w:val="20"/>
                <w:szCs w:val="20"/>
              </w:rPr>
              <w:t xml:space="preserve">  </w:t>
            </w:r>
            <w:r w:rsidRPr="00225879">
              <w:rPr>
                <w:sz w:val="20"/>
                <w:szCs w:val="20"/>
              </w:rPr>
              <w:t>Elektrischer Strom:    ≤</w:t>
            </w:r>
            <w:r w:rsidR="00E468AE">
              <w:rPr>
                <w:sz w:val="20"/>
                <w:szCs w:val="20"/>
              </w:rPr>
              <w:t>2.500</w:t>
            </w:r>
            <w:r w:rsidRPr="00225879">
              <w:rPr>
                <w:sz w:val="20"/>
                <w:szCs w:val="20"/>
              </w:rPr>
              <w:t xml:space="preserve"> kWh/Tonne Papier</w:t>
            </w:r>
          </w:p>
          <w:p w14:paraId="0E0750E4" w14:textId="7FD70305" w:rsidR="00225879" w:rsidRPr="00774AFD"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 xml:space="preserve"> </w:t>
            </w:r>
            <w:r w:rsidR="00225879" w:rsidRPr="00774AFD">
              <w:rPr>
                <w:rFonts w:ascii="Verdana" w:hAnsi="Verdana"/>
                <w:sz w:val="20"/>
                <w:szCs w:val="20"/>
              </w:rPr>
              <w:tab/>
              <w:t>Prozesswärme:       ≤</w:t>
            </w:r>
            <w:r w:rsidR="00E468AE">
              <w:rPr>
                <w:rFonts w:ascii="Verdana" w:hAnsi="Verdana"/>
                <w:sz w:val="20"/>
                <w:szCs w:val="20"/>
              </w:rPr>
              <w:t xml:space="preserve">5.100 </w:t>
            </w:r>
            <w:r w:rsidR="00225879" w:rsidRPr="00774AFD">
              <w:rPr>
                <w:rFonts w:ascii="Verdana" w:hAnsi="Verdana"/>
                <w:sz w:val="20"/>
                <w:szCs w:val="20"/>
              </w:rPr>
              <w:t>kWh/Tonne Papier</w:t>
            </w:r>
          </w:p>
          <w:p w14:paraId="5F693C47" w14:textId="6DAAFEDB" w:rsidR="00225879" w:rsidRPr="00011D99" w:rsidRDefault="00774AFD" w:rsidP="00225879">
            <w:pPr>
              <w:pStyle w:val="Textkrper"/>
              <w:tabs>
                <w:tab w:val="left" w:pos="8222"/>
              </w:tabs>
              <w:spacing w:line="240" w:lineRule="auto"/>
              <w:ind w:left="155" w:hanging="155"/>
              <w:jc w:val="left"/>
              <w:rPr>
                <w:rFonts w:ascii="Verdana" w:hAnsi="Verdana"/>
                <w:sz w:val="20"/>
                <w:szCs w:val="20"/>
              </w:rPr>
            </w:pPr>
            <w:r>
              <w:rPr>
                <w:rFonts w:ascii="Verdana" w:hAnsi="Verdana"/>
                <w:sz w:val="16"/>
                <w:szCs w:val="16"/>
              </w:rPr>
              <w:t xml:space="preserve">   </w:t>
            </w:r>
            <w:r w:rsidR="00225879" w:rsidRPr="00434333">
              <w:rPr>
                <w:rFonts w:ascii="Verdana" w:hAnsi="Verdana"/>
                <w:sz w:val="16"/>
                <w:szCs w:val="16"/>
              </w:rPr>
              <w:t>Die Überschreitung der Summe aus Prozesswärme- und elektrischem Strombedarf um insgesamt 10% ist zulässig;</w:t>
            </w:r>
          </w:p>
        </w:tc>
      </w:tr>
      <w:tr w:rsidR="00774AFD" w:rsidRPr="003C7026" w14:paraId="2D69DE27" w14:textId="77777777" w:rsidTr="00500850">
        <w:trPr>
          <w:trHeight w:val="516"/>
        </w:trPr>
        <w:tc>
          <w:tcPr>
            <w:tcW w:w="1231" w:type="dxa"/>
            <w:shd w:val="clear" w:color="auto" w:fill="auto"/>
          </w:tcPr>
          <w:p w14:paraId="39C5CD2C" w14:textId="637E83CD" w:rsidR="00774AFD" w:rsidRDefault="0073080D" w:rsidP="00500850">
            <w:pPr>
              <w:pStyle w:val="Textkrper"/>
              <w:tabs>
                <w:tab w:val="left" w:pos="8222"/>
              </w:tabs>
              <w:spacing w:line="240" w:lineRule="auto"/>
              <w:jc w:val="left"/>
              <w:rPr>
                <w:b/>
                <w:sz w:val="22"/>
              </w:rPr>
            </w:pPr>
            <w:r>
              <w:rPr>
                <w:b/>
                <w:sz w:val="22"/>
              </w:rPr>
              <w:t>3.2</w:t>
            </w:r>
            <w:r w:rsidR="00774AFD" w:rsidRPr="001D61A5">
              <w:rPr>
                <w:b/>
                <w:sz w:val="22"/>
              </w:rPr>
              <w:t>.7</w:t>
            </w:r>
          </w:p>
        </w:tc>
        <w:tc>
          <w:tcPr>
            <w:tcW w:w="8581" w:type="dxa"/>
            <w:shd w:val="clear" w:color="auto" w:fill="auto"/>
          </w:tcPr>
          <w:p w14:paraId="09DB33F3" w14:textId="77777777" w:rsidR="00074DC2" w:rsidRDefault="00074DC2" w:rsidP="00074DC2">
            <w:pPr>
              <w:pStyle w:val="Standardklein"/>
              <w:spacing w:line="240" w:lineRule="auto"/>
              <w:jc w:val="left"/>
              <w:rPr>
                <w:sz w:val="20"/>
                <w:szCs w:val="20"/>
              </w:rPr>
            </w:pPr>
            <w:r>
              <w:rPr>
                <w:sz w:val="20"/>
                <w:szCs w:val="20"/>
              </w:rPr>
              <w:t>- a</w:t>
            </w:r>
            <w:r w:rsidRPr="00074DC2">
              <w:rPr>
                <w:sz w:val="20"/>
                <w:szCs w:val="20"/>
              </w:rPr>
              <w:t xml:space="preserve">ls Fabrikationshilfsstoffe und Papierveredelungsstoffe dürfen keine Stoffe als </w:t>
            </w:r>
          </w:p>
          <w:p w14:paraId="15561452" w14:textId="77777777" w:rsidR="005943A7" w:rsidRDefault="00074DC2" w:rsidP="00074DC2">
            <w:pPr>
              <w:pStyle w:val="Standardklein"/>
              <w:spacing w:line="240" w:lineRule="auto"/>
              <w:jc w:val="left"/>
              <w:rPr>
                <w:sz w:val="20"/>
                <w:szCs w:val="20"/>
              </w:rPr>
            </w:pPr>
            <w:r>
              <w:rPr>
                <w:sz w:val="20"/>
                <w:szCs w:val="20"/>
              </w:rPr>
              <w:t xml:space="preserve">  </w:t>
            </w:r>
            <w:r w:rsidRPr="00074DC2">
              <w:rPr>
                <w:sz w:val="20"/>
                <w:szCs w:val="20"/>
              </w:rPr>
              <w:t xml:space="preserve">konstitutionelle Bestandteile zugesetzt werden, die folgende Eigenschaften </w:t>
            </w:r>
          </w:p>
          <w:p w14:paraId="625431FB" w14:textId="61FBA068" w:rsidR="00774AFD" w:rsidRDefault="005943A7" w:rsidP="00074DC2">
            <w:pPr>
              <w:pStyle w:val="Standardklein"/>
              <w:spacing w:line="240" w:lineRule="auto"/>
              <w:jc w:val="left"/>
              <w:rPr>
                <w:sz w:val="20"/>
                <w:szCs w:val="20"/>
              </w:rPr>
            </w:pPr>
            <w:r>
              <w:rPr>
                <w:sz w:val="20"/>
                <w:szCs w:val="20"/>
              </w:rPr>
              <w:t xml:space="preserve">  </w:t>
            </w:r>
            <w:r w:rsidR="00074DC2" w:rsidRPr="00074DC2">
              <w:rPr>
                <w:sz w:val="20"/>
                <w:szCs w:val="20"/>
              </w:rPr>
              <w:t>erfüllen:</w:t>
            </w:r>
          </w:p>
          <w:p w14:paraId="03DF836E" w14:textId="3FCCCC58" w:rsidR="00074DC2" w:rsidRDefault="00074DC2" w:rsidP="00074DC2">
            <w:pPr>
              <w:pStyle w:val="Standardklein"/>
              <w:numPr>
                <w:ilvl w:val="0"/>
                <w:numId w:val="9"/>
              </w:numPr>
              <w:spacing w:line="240" w:lineRule="auto"/>
              <w:jc w:val="left"/>
              <w:rPr>
                <w:sz w:val="20"/>
                <w:szCs w:val="20"/>
              </w:rPr>
            </w:pPr>
            <w:r w:rsidRPr="00074DC2">
              <w:rPr>
                <w:sz w:val="20"/>
                <w:szCs w:val="20"/>
              </w:rPr>
              <w:t xml:space="preserve">Es dürfen keine Stoffe eingesetzt werden, die gemäß Artikel 57 Absatz 1 der REACH-Verordnung als besonders besorgniserregend identifiziert wurden und in die gemäß Artikel 59 Absatz 1 derselben Verordnung </w:t>
            </w:r>
            <w:r w:rsidRPr="00074DC2">
              <w:rPr>
                <w:sz w:val="20"/>
                <w:szCs w:val="20"/>
              </w:rPr>
              <w:lastRenderedPageBreak/>
              <w:t xml:space="preserve">erstellte Liste, die sogenannte "Kandidatenliste" aufgenommen wurden [besonders besorgniserregende Stoffe (SVHC)] </w:t>
            </w:r>
          </w:p>
          <w:p w14:paraId="61F8283A" w14:textId="77777777" w:rsidR="00074DC2" w:rsidRPr="00074DC2" w:rsidRDefault="00074DC2" w:rsidP="00074DC2">
            <w:pPr>
              <w:pStyle w:val="Standardklein"/>
              <w:numPr>
                <w:ilvl w:val="0"/>
                <w:numId w:val="9"/>
              </w:numPr>
              <w:spacing w:line="240" w:lineRule="auto"/>
              <w:rPr>
                <w:sz w:val="20"/>
                <w:szCs w:val="20"/>
              </w:rPr>
            </w:pPr>
            <w:r w:rsidRPr="00074DC2">
              <w:rPr>
                <w:sz w:val="20"/>
                <w:szCs w:val="20"/>
              </w:rPr>
              <w:t>Es dürfen keine Stoffe zugesetzt werden, die gemäß der CLP-Verordnung in die folgenden Gefahrenkategorien eingestuft sind oder die Kriterien für eine solche Einstufung erfüllen:</w:t>
            </w:r>
          </w:p>
          <w:p w14:paraId="082C263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toxisch für spezifische Zielorgane der Kategorie STOT SE 1, STOT SE 2 oder STOT RE 1, STOT RE 2</w:t>
            </w:r>
          </w:p>
          <w:p w14:paraId="20C3E4F4"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karzinogen (krebserzeugend) der Kategorie Carc. 1A, Carc. 1B oder Carc. 2</w:t>
            </w:r>
          </w:p>
          <w:p w14:paraId="1633229C"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keimzellmutagen (erbgutverändernd) der Kategorie Muta. 1A, Muta. 1B oder Muta. 2</w:t>
            </w:r>
          </w:p>
          <w:p w14:paraId="42C37677"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reproduktionstoxisch (fortpflanzungsgefährdend) der Kategorie Repr. 1A, Repr. 1B, Repr. 2 oder Lakt</w:t>
            </w:r>
          </w:p>
          <w:p w14:paraId="5FA48B1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endokrine Disruption mit Wirkung auf die menschliche Gesundheit der Kategorie ED HH 1 oder ED HH 2 </w:t>
            </w:r>
          </w:p>
          <w:p w14:paraId="467A0093"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endokrine Disruption mit Wirkung auf die Umwelt der Kategorie ED ENV 1 oder ED ENV 2 </w:t>
            </w:r>
          </w:p>
          <w:p w14:paraId="5174D8D9"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persistente, bioakkumulierbare und toxische (PBT) oder sehr persistente, sehr bioakkumulierbare (vPvB) Eigenschaften </w:t>
            </w:r>
          </w:p>
          <w:p w14:paraId="0AAFE7AF" w14:textId="77777777" w:rsidR="00074DC2" w:rsidRPr="00074DC2" w:rsidRDefault="00074DC2" w:rsidP="00074DC2">
            <w:pPr>
              <w:pStyle w:val="Standardklein"/>
              <w:numPr>
                <w:ilvl w:val="0"/>
                <w:numId w:val="10"/>
              </w:numPr>
              <w:spacing w:line="240" w:lineRule="auto"/>
              <w:rPr>
                <w:sz w:val="20"/>
                <w:szCs w:val="20"/>
              </w:rPr>
            </w:pPr>
            <w:r w:rsidRPr="00074DC2">
              <w:rPr>
                <w:sz w:val="20"/>
                <w:szCs w:val="20"/>
              </w:rPr>
              <w:t xml:space="preserve">persistente, mobile und toxische (PMT) oder sehr persistente, sehr mobile (vPvM) Eigenschaften  </w:t>
            </w:r>
          </w:p>
          <w:p w14:paraId="1B42B2FD" w14:textId="77777777" w:rsidR="00074DC2" w:rsidRPr="00074DC2" w:rsidRDefault="00074DC2" w:rsidP="00074DC2">
            <w:pPr>
              <w:pStyle w:val="Standardklein"/>
              <w:numPr>
                <w:ilvl w:val="0"/>
                <w:numId w:val="9"/>
              </w:numPr>
              <w:rPr>
                <w:sz w:val="20"/>
                <w:szCs w:val="20"/>
              </w:rPr>
            </w:pPr>
            <w:r w:rsidRPr="00074DC2">
              <w:rPr>
                <w:sz w:val="20"/>
                <w:szCs w:val="20"/>
              </w:rPr>
              <w:t xml:space="preserve">Stoffe, die in der TRGS 905 eingestuft sind als: </w:t>
            </w:r>
          </w:p>
          <w:p w14:paraId="68D964AE" w14:textId="77777777" w:rsidR="00074DC2" w:rsidRPr="00074DC2" w:rsidRDefault="00074DC2" w:rsidP="00074DC2">
            <w:pPr>
              <w:pStyle w:val="Standardklein"/>
              <w:numPr>
                <w:ilvl w:val="0"/>
                <w:numId w:val="11"/>
              </w:numPr>
              <w:spacing w:line="240" w:lineRule="auto"/>
              <w:rPr>
                <w:sz w:val="20"/>
                <w:szCs w:val="20"/>
              </w:rPr>
            </w:pPr>
            <w:r w:rsidRPr="00074DC2">
              <w:rPr>
                <w:sz w:val="20"/>
                <w:szCs w:val="20"/>
              </w:rPr>
              <w:t>krebserzeugend (K1A, K1B, K214)</w:t>
            </w:r>
          </w:p>
          <w:p w14:paraId="76F86011" w14:textId="77777777" w:rsidR="00074DC2" w:rsidRPr="00074DC2" w:rsidRDefault="00074DC2" w:rsidP="00074DC2">
            <w:pPr>
              <w:pStyle w:val="Standardklein"/>
              <w:numPr>
                <w:ilvl w:val="0"/>
                <w:numId w:val="11"/>
              </w:numPr>
              <w:spacing w:line="240" w:lineRule="auto"/>
              <w:rPr>
                <w:sz w:val="20"/>
                <w:szCs w:val="20"/>
              </w:rPr>
            </w:pPr>
            <w:r w:rsidRPr="00074DC2">
              <w:rPr>
                <w:sz w:val="20"/>
                <w:szCs w:val="20"/>
              </w:rPr>
              <w:t>erbgutverändernd M1A, M1B, M2)</w:t>
            </w:r>
          </w:p>
          <w:p w14:paraId="745CF682" w14:textId="1BF415DD" w:rsidR="00074DC2" w:rsidRPr="00074DC2" w:rsidRDefault="00074DC2" w:rsidP="00074DC2">
            <w:pPr>
              <w:pStyle w:val="Standardklein"/>
              <w:numPr>
                <w:ilvl w:val="0"/>
                <w:numId w:val="11"/>
              </w:numPr>
              <w:spacing w:line="240" w:lineRule="auto"/>
              <w:rPr>
                <w:sz w:val="20"/>
                <w:szCs w:val="20"/>
              </w:rPr>
            </w:pPr>
            <w:r w:rsidRPr="00074DC2">
              <w:rPr>
                <w:sz w:val="20"/>
                <w:szCs w:val="20"/>
              </w:rPr>
              <w:t>fortpflanzungsgefährdend (RF1A, RF1B, RF2, RD1A, RD1B, RD2)</w:t>
            </w:r>
          </w:p>
        </w:tc>
      </w:tr>
      <w:tr w:rsidR="00766BB0" w:rsidRPr="003C7026" w14:paraId="59322A11" w14:textId="77777777" w:rsidTr="00500850">
        <w:trPr>
          <w:trHeight w:val="516"/>
        </w:trPr>
        <w:tc>
          <w:tcPr>
            <w:tcW w:w="1231" w:type="dxa"/>
            <w:shd w:val="clear" w:color="auto" w:fill="auto"/>
          </w:tcPr>
          <w:p w14:paraId="4A13451C" w14:textId="2A022015" w:rsidR="00766BB0" w:rsidRDefault="0073080D" w:rsidP="00500850">
            <w:pPr>
              <w:pStyle w:val="Textkrper"/>
              <w:tabs>
                <w:tab w:val="left" w:pos="8222"/>
              </w:tabs>
              <w:spacing w:line="240" w:lineRule="auto"/>
              <w:jc w:val="left"/>
              <w:rPr>
                <w:b/>
                <w:sz w:val="22"/>
              </w:rPr>
            </w:pPr>
            <w:r>
              <w:rPr>
                <w:b/>
                <w:sz w:val="22"/>
              </w:rPr>
              <w:lastRenderedPageBreak/>
              <w:t>3.2</w:t>
            </w:r>
            <w:r w:rsidR="00766BB0">
              <w:rPr>
                <w:b/>
                <w:sz w:val="22"/>
              </w:rPr>
              <w:t>.8</w:t>
            </w:r>
          </w:p>
        </w:tc>
        <w:tc>
          <w:tcPr>
            <w:tcW w:w="8581" w:type="dxa"/>
            <w:shd w:val="clear" w:color="auto" w:fill="auto"/>
          </w:tcPr>
          <w:p w14:paraId="19565E63" w14:textId="7B7CA2D1" w:rsidR="00E468AE" w:rsidRDefault="00766BB0" w:rsidP="00074DC2">
            <w:pPr>
              <w:pStyle w:val="Standardklein"/>
              <w:spacing w:line="240" w:lineRule="auto"/>
              <w:jc w:val="left"/>
              <w:rPr>
                <w:sz w:val="20"/>
                <w:szCs w:val="20"/>
              </w:rPr>
            </w:pPr>
            <w:r>
              <w:rPr>
                <w:sz w:val="20"/>
                <w:szCs w:val="20"/>
              </w:rPr>
              <w:t xml:space="preserve">- </w:t>
            </w:r>
            <w:r w:rsidR="00E468AE" w:rsidRPr="00E468AE">
              <w:rPr>
                <w:sz w:val="20"/>
                <w:szCs w:val="20"/>
              </w:rPr>
              <w:t>keine fluorhaltigen Stoffe verwendet werden</w:t>
            </w:r>
          </w:p>
          <w:p w14:paraId="1BB68409" w14:textId="77777777" w:rsidR="00E468AE" w:rsidRDefault="00766BB0" w:rsidP="00074DC2">
            <w:pPr>
              <w:pStyle w:val="Standardklein"/>
              <w:spacing w:line="240" w:lineRule="auto"/>
              <w:jc w:val="left"/>
              <w:rPr>
                <w:sz w:val="20"/>
                <w:szCs w:val="20"/>
              </w:rPr>
            </w:pPr>
            <w:r>
              <w:rPr>
                <w:sz w:val="20"/>
                <w:szCs w:val="20"/>
              </w:rPr>
              <w:t xml:space="preserve">- </w:t>
            </w:r>
            <w:r w:rsidR="00E468AE">
              <w:rPr>
                <w:sz w:val="20"/>
                <w:szCs w:val="20"/>
              </w:rPr>
              <w:t>n</w:t>
            </w:r>
            <w:r w:rsidR="00E468AE" w:rsidRPr="00E468AE">
              <w:rPr>
                <w:sz w:val="20"/>
                <w:szCs w:val="20"/>
              </w:rPr>
              <w:t xml:space="preserve">eben dem Verbot von fluorhaltigen Stoffen bei der Papierherstellung nur solche </w:t>
            </w:r>
          </w:p>
          <w:p w14:paraId="74FC335F" w14:textId="77777777" w:rsidR="00E468AE" w:rsidRDefault="00E468AE" w:rsidP="00074DC2">
            <w:pPr>
              <w:pStyle w:val="Standardklein"/>
              <w:spacing w:line="240" w:lineRule="auto"/>
              <w:jc w:val="left"/>
              <w:rPr>
                <w:sz w:val="20"/>
                <w:szCs w:val="20"/>
              </w:rPr>
            </w:pPr>
            <w:r>
              <w:rPr>
                <w:sz w:val="20"/>
                <w:szCs w:val="20"/>
              </w:rPr>
              <w:t xml:space="preserve">  </w:t>
            </w:r>
            <w:r w:rsidRPr="00E468AE">
              <w:rPr>
                <w:sz w:val="20"/>
                <w:szCs w:val="20"/>
              </w:rPr>
              <w:t xml:space="preserve">halogenhaltigen Verbindungen eingesetzt werden, die in der BfR-Empfehlung </w:t>
            </w:r>
          </w:p>
          <w:p w14:paraId="6FF24779" w14:textId="77777777" w:rsidR="00E468AE" w:rsidRDefault="00E468AE" w:rsidP="00074DC2">
            <w:pPr>
              <w:pStyle w:val="Standardklein"/>
              <w:spacing w:line="240" w:lineRule="auto"/>
              <w:jc w:val="left"/>
              <w:rPr>
                <w:sz w:val="20"/>
                <w:szCs w:val="20"/>
              </w:rPr>
            </w:pPr>
            <w:r>
              <w:rPr>
                <w:sz w:val="20"/>
                <w:szCs w:val="20"/>
              </w:rPr>
              <w:t xml:space="preserve">  </w:t>
            </w:r>
            <w:r w:rsidRPr="00E468AE">
              <w:rPr>
                <w:sz w:val="20"/>
                <w:szCs w:val="20"/>
              </w:rPr>
              <w:t xml:space="preserve">XXXVI/2. Papiere, Kartons und Pappen für Backzwecke als Fabrikationshilfsstoffe </w:t>
            </w:r>
          </w:p>
          <w:p w14:paraId="1DC275E2" w14:textId="77777777" w:rsidR="00766BB0" w:rsidRDefault="00E468AE" w:rsidP="00074DC2">
            <w:pPr>
              <w:pStyle w:val="Standardklein"/>
              <w:spacing w:line="240" w:lineRule="auto"/>
              <w:jc w:val="left"/>
              <w:rPr>
                <w:sz w:val="20"/>
                <w:szCs w:val="20"/>
              </w:rPr>
            </w:pPr>
            <w:r>
              <w:rPr>
                <w:sz w:val="20"/>
                <w:szCs w:val="20"/>
              </w:rPr>
              <w:t xml:space="preserve">  </w:t>
            </w:r>
            <w:r w:rsidRPr="00E468AE">
              <w:rPr>
                <w:sz w:val="20"/>
                <w:szCs w:val="20"/>
              </w:rPr>
              <w:t>zugelassen sind</w:t>
            </w:r>
          </w:p>
          <w:p w14:paraId="34ADE080" w14:textId="77777777" w:rsidR="00E468AE" w:rsidRDefault="00E468AE" w:rsidP="00E468AE">
            <w:pPr>
              <w:pStyle w:val="Standardklein"/>
              <w:spacing w:line="240" w:lineRule="auto"/>
              <w:jc w:val="left"/>
              <w:rPr>
                <w:sz w:val="20"/>
                <w:szCs w:val="20"/>
              </w:rPr>
            </w:pPr>
            <w:r w:rsidRPr="00E468AE">
              <w:rPr>
                <w:sz w:val="20"/>
                <w:szCs w:val="20"/>
              </w:rPr>
              <w:t>-</w:t>
            </w:r>
            <w:r>
              <w:rPr>
                <w:sz w:val="20"/>
                <w:szCs w:val="20"/>
              </w:rPr>
              <w:t xml:space="preserve"> </w:t>
            </w:r>
            <w:r w:rsidRPr="00E468AE">
              <w:rPr>
                <w:sz w:val="20"/>
                <w:szCs w:val="20"/>
              </w:rPr>
              <w:t>keine chromhaltigen Stoffe verwendet werden</w:t>
            </w:r>
          </w:p>
          <w:p w14:paraId="3B8A44D8" w14:textId="77777777" w:rsidR="00E468AE" w:rsidRDefault="00E468AE" w:rsidP="00E468AE">
            <w:pPr>
              <w:pStyle w:val="Standardklein"/>
              <w:spacing w:line="240" w:lineRule="auto"/>
              <w:jc w:val="left"/>
              <w:rPr>
                <w:sz w:val="20"/>
                <w:szCs w:val="20"/>
              </w:rPr>
            </w:pPr>
            <w:r>
              <w:rPr>
                <w:sz w:val="20"/>
                <w:szCs w:val="20"/>
              </w:rPr>
              <w:t xml:space="preserve">- </w:t>
            </w:r>
            <w:r w:rsidRPr="00E468AE">
              <w:rPr>
                <w:sz w:val="20"/>
                <w:szCs w:val="20"/>
              </w:rPr>
              <w:t>keine optischen Aufheller verwendet werden</w:t>
            </w:r>
          </w:p>
          <w:p w14:paraId="147286BA" w14:textId="2DD535C8" w:rsidR="00E468AE" w:rsidRDefault="00E468AE" w:rsidP="00E468AE">
            <w:pPr>
              <w:pStyle w:val="Standardklein"/>
              <w:spacing w:line="240" w:lineRule="auto"/>
              <w:jc w:val="left"/>
              <w:rPr>
                <w:sz w:val="20"/>
                <w:szCs w:val="20"/>
              </w:rPr>
            </w:pPr>
            <w:r>
              <w:rPr>
                <w:sz w:val="20"/>
                <w:szCs w:val="20"/>
              </w:rPr>
              <w:t xml:space="preserve">- </w:t>
            </w:r>
            <w:r w:rsidRPr="00E468AE">
              <w:rPr>
                <w:sz w:val="20"/>
                <w:szCs w:val="20"/>
              </w:rPr>
              <w:t xml:space="preserve">Prozesschemikalien keine Alkylphenolethoxylate (APEO) und/oder deren </w:t>
            </w:r>
            <w:r>
              <w:rPr>
                <w:sz w:val="20"/>
                <w:szCs w:val="20"/>
              </w:rPr>
              <w:t xml:space="preserve"> </w:t>
            </w:r>
          </w:p>
          <w:p w14:paraId="07AFE938" w14:textId="77777777" w:rsidR="00E468AE" w:rsidRDefault="00E468AE" w:rsidP="00E468AE">
            <w:pPr>
              <w:pStyle w:val="Standardklein"/>
              <w:spacing w:line="240" w:lineRule="auto"/>
              <w:jc w:val="left"/>
              <w:rPr>
                <w:sz w:val="20"/>
                <w:szCs w:val="20"/>
              </w:rPr>
            </w:pPr>
            <w:r>
              <w:rPr>
                <w:sz w:val="20"/>
                <w:szCs w:val="20"/>
              </w:rPr>
              <w:t xml:space="preserve">  </w:t>
            </w:r>
            <w:r w:rsidRPr="00E468AE">
              <w:rPr>
                <w:sz w:val="20"/>
                <w:szCs w:val="20"/>
              </w:rPr>
              <w:t>Derivate enthalten</w:t>
            </w:r>
          </w:p>
          <w:p w14:paraId="4BD44492" w14:textId="77777777" w:rsidR="003438E6" w:rsidRDefault="003438E6" w:rsidP="00E468AE">
            <w:pPr>
              <w:pStyle w:val="Standardklein"/>
              <w:spacing w:line="240" w:lineRule="auto"/>
              <w:jc w:val="left"/>
              <w:rPr>
                <w:sz w:val="20"/>
                <w:szCs w:val="20"/>
              </w:rPr>
            </w:pPr>
            <w:r>
              <w:rPr>
                <w:sz w:val="20"/>
                <w:szCs w:val="20"/>
              </w:rPr>
              <w:t>-</w:t>
            </w:r>
            <w:r w:rsidRPr="003438E6">
              <w:rPr>
                <w:rFonts w:eastAsia="Times New Roman" w:cs="Times New Roman"/>
                <w:color w:val="000000"/>
                <w:sz w:val="20"/>
                <w:szCs w:val="20"/>
                <w:lang w:eastAsia="de-DE"/>
              </w:rPr>
              <w:t xml:space="preserve"> </w:t>
            </w:r>
            <w:r>
              <w:rPr>
                <w:rFonts w:cs="Times New Roman"/>
                <w:color w:val="000000"/>
                <w:sz w:val="20"/>
                <w:szCs w:val="20"/>
              </w:rPr>
              <w:t>b</w:t>
            </w:r>
            <w:r w:rsidRPr="003438E6">
              <w:rPr>
                <w:sz w:val="20"/>
                <w:szCs w:val="20"/>
              </w:rPr>
              <w:t xml:space="preserve">ei der Papierherstellung keine Komplexbildner eingesetzt werden, sowie keine </w:t>
            </w:r>
          </w:p>
          <w:p w14:paraId="392A5283" w14:textId="77777777" w:rsidR="003438E6" w:rsidRDefault="003438E6" w:rsidP="00E468AE">
            <w:pPr>
              <w:pStyle w:val="Standardklein"/>
              <w:spacing w:line="240" w:lineRule="auto"/>
              <w:jc w:val="left"/>
              <w:rPr>
                <w:sz w:val="20"/>
                <w:szCs w:val="20"/>
              </w:rPr>
            </w:pPr>
            <w:r>
              <w:rPr>
                <w:sz w:val="20"/>
                <w:szCs w:val="20"/>
              </w:rPr>
              <w:t xml:space="preserve">  </w:t>
            </w:r>
            <w:r w:rsidRPr="003438E6">
              <w:rPr>
                <w:sz w:val="20"/>
                <w:szCs w:val="20"/>
              </w:rPr>
              <w:t xml:space="preserve">chemischen Hilfsmittel, die Glyoxal oder Formaldehyd als konstitutionelle </w:t>
            </w:r>
          </w:p>
          <w:p w14:paraId="604F31B1" w14:textId="161E8814" w:rsidR="003438E6" w:rsidRDefault="003438E6" w:rsidP="00E468AE">
            <w:pPr>
              <w:pStyle w:val="Standardklein"/>
              <w:spacing w:line="240" w:lineRule="auto"/>
              <w:jc w:val="left"/>
              <w:rPr>
                <w:sz w:val="20"/>
                <w:szCs w:val="20"/>
              </w:rPr>
            </w:pPr>
            <w:r>
              <w:rPr>
                <w:sz w:val="20"/>
                <w:szCs w:val="20"/>
              </w:rPr>
              <w:t xml:space="preserve">  </w:t>
            </w:r>
            <w:r w:rsidRPr="003438E6">
              <w:rPr>
                <w:sz w:val="20"/>
                <w:szCs w:val="20"/>
              </w:rPr>
              <w:t>Bestandteile enthalten oder Formaldehyd abspalten können</w:t>
            </w:r>
          </w:p>
        </w:tc>
      </w:tr>
      <w:tr w:rsidR="003438E6" w:rsidRPr="003C7026" w14:paraId="254A64B7" w14:textId="77777777" w:rsidTr="00500850">
        <w:trPr>
          <w:trHeight w:val="516"/>
        </w:trPr>
        <w:tc>
          <w:tcPr>
            <w:tcW w:w="1231" w:type="dxa"/>
            <w:shd w:val="clear" w:color="auto" w:fill="auto"/>
          </w:tcPr>
          <w:p w14:paraId="24CAD591" w14:textId="2F359197" w:rsidR="003438E6" w:rsidRDefault="0073080D" w:rsidP="00500850">
            <w:pPr>
              <w:pStyle w:val="Textkrper"/>
              <w:tabs>
                <w:tab w:val="left" w:pos="8222"/>
              </w:tabs>
              <w:spacing w:line="240" w:lineRule="auto"/>
              <w:jc w:val="left"/>
              <w:rPr>
                <w:b/>
                <w:sz w:val="22"/>
              </w:rPr>
            </w:pPr>
            <w:r>
              <w:rPr>
                <w:b/>
                <w:sz w:val="22"/>
              </w:rPr>
              <w:t>3.2</w:t>
            </w:r>
            <w:r w:rsidR="003438E6">
              <w:rPr>
                <w:b/>
                <w:sz w:val="22"/>
              </w:rPr>
              <w:t>.9</w:t>
            </w:r>
          </w:p>
        </w:tc>
        <w:tc>
          <w:tcPr>
            <w:tcW w:w="8581" w:type="dxa"/>
            <w:shd w:val="clear" w:color="auto" w:fill="auto"/>
          </w:tcPr>
          <w:p w14:paraId="5BB282C3" w14:textId="77777777" w:rsidR="003438E6" w:rsidRDefault="003438E6" w:rsidP="003438E6">
            <w:pPr>
              <w:pStyle w:val="Standardklein"/>
              <w:spacing w:line="240" w:lineRule="auto"/>
              <w:rPr>
                <w:sz w:val="20"/>
                <w:szCs w:val="20"/>
              </w:rPr>
            </w:pPr>
            <w:r>
              <w:rPr>
                <w:sz w:val="20"/>
                <w:szCs w:val="20"/>
              </w:rPr>
              <w:t xml:space="preserve">- wenn </w:t>
            </w:r>
            <w:r w:rsidRPr="003438E6">
              <w:rPr>
                <w:sz w:val="20"/>
                <w:szCs w:val="20"/>
              </w:rPr>
              <w:t>das Papier mit Silikon beschichtet</w:t>
            </w:r>
            <w:r>
              <w:rPr>
                <w:sz w:val="20"/>
                <w:szCs w:val="20"/>
              </w:rPr>
              <w:t xml:space="preserve"> wird</w:t>
            </w:r>
            <w:r w:rsidRPr="003438E6">
              <w:rPr>
                <w:sz w:val="20"/>
                <w:szCs w:val="20"/>
              </w:rPr>
              <w:t>, folgende Anforderungen</w:t>
            </w:r>
            <w:r>
              <w:rPr>
                <w:sz w:val="20"/>
                <w:szCs w:val="20"/>
              </w:rPr>
              <w:t xml:space="preserve"> eingehalten </w:t>
            </w:r>
          </w:p>
          <w:p w14:paraId="24808DA0" w14:textId="022E9F01" w:rsidR="003438E6" w:rsidRPr="003438E6" w:rsidRDefault="003438E6" w:rsidP="003438E6">
            <w:pPr>
              <w:pStyle w:val="Standardklein"/>
              <w:spacing w:line="240" w:lineRule="auto"/>
              <w:rPr>
                <w:sz w:val="20"/>
                <w:szCs w:val="20"/>
              </w:rPr>
            </w:pPr>
            <w:r>
              <w:rPr>
                <w:sz w:val="20"/>
                <w:szCs w:val="20"/>
              </w:rPr>
              <w:t xml:space="preserve">  werden</w:t>
            </w:r>
            <w:r w:rsidRPr="003438E6">
              <w:rPr>
                <w:sz w:val="20"/>
                <w:szCs w:val="20"/>
              </w:rPr>
              <w:t>:</w:t>
            </w:r>
          </w:p>
          <w:p w14:paraId="72C5F80E" w14:textId="08ABEB49" w:rsidR="003438E6" w:rsidRPr="003438E6" w:rsidRDefault="003438E6" w:rsidP="003438E6">
            <w:pPr>
              <w:pStyle w:val="Standardklein"/>
              <w:spacing w:line="240" w:lineRule="auto"/>
              <w:jc w:val="left"/>
              <w:rPr>
                <w:sz w:val="20"/>
                <w:szCs w:val="20"/>
              </w:rPr>
            </w:pPr>
            <w:r w:rsidRPr="003438E6">
              <w:rPr>
                <w:sz w:val="20"/>
                <w:szCs w:val="20"/>
              </w:rPr>
              <w:t>•</w:t>
            </w:r>
            <w:r>
              <w:rPr>
                <w:sz w:val="20"/>
                <w:szCs w:val="20"/>
              </w:rPr>
              <w:t xml:space="preserve"> </w:t>
            </w:r>
            <w:r w:rsidRPr="003438E6">
              <w:rPr>
                <w:sz w:val="20"/>
                <w:szCs w:val="20"/>
              </w:rPr>
              <w:t>Lösemittelhaltige Silikonbeschichtungen dürfen nicht genutzt werden.</w:t>
            </w:r>
          </w:p>
          <w:p w14:paraId="30AB7688" w14:textId="034AFB46" w:rsidR="003438E6" w:rsidRDefault="003438E6" w:rsidP="003438E6">
            <w:pPr>
              <w:pStyle w:val="Standardklein"/>
              <w:spacing w:line="240" w:lineRule="auto"/>
              <w:jc w:val="left"/>
              <w:rPr>
                <w:sz w:val="20"/>
                <w:szCs w:val="20"/>
              </w:rPr>
            </w:pPr>
            <w:r w:rsidRPr="003438E6">
              <w:rPr>
                <w:sz w:val="20"/>
                <w:szCs w:val="20"/>
              </w:rPr>
              <w:t>•</w:t>
            </w:r>
            <w:r>
              <w:rPr>
                <w:sz w:val="20"/>
                <w:szCs w:val="20"/>
              </w:rPr>
              <w:t xml:space="preserve"> </w:t>
            </w:r>
            <w:r w:rsidRPr="003438E6">
              <w:rPr>
                <w:sz w:val="20"/>
                <w:szCs w:val="20"/>
              </w:rPr>
              <w:t xml:space="preserve">Die für die Silikonbehandlung verwendeten Chemikalien dürfen weder </w:t>
            </w:r>
          </w:p>
          <w:p w14:paraId="492EE7A9" w14:textId="77777777" w:rsid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Octamethyl-Cyclotetrasiloxan D4 (CAS 556-67-2), Decamethyl-</w:t>
            </w:r>
          </w:p>
          <w:p w14:paraId="0849E604" w14:textId="77777777" w:rsid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 xml:space="preserve">Cyclopentasiloxan D5 (CAS 541-02-6) noch Dodecamethylcyclohexasiloxan D6 </w:t>
            </w:r>
          </w:p>
          <w:p w14:paraId="2FCA357C" w14:textId="26937B7F" w:rsidR="003438E6" w:rsidRP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(CAS 540-97-6) enthalten.</w:t>
            </w:r>
          </w:p>
          <w:p w14:paraId="4D88F16E" w14:textId="77777777" w:rsid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 xml:space="preserve">Verunreinigungen von D4, D5 und D6 von weniger als 800 ppm (Massenanteil) </w:t>
            </w:r>
          </w:p>
          <w:p w14:paraId="7B72AE62" w14:textId="24EC63D7" w:rsidR="003438E6" w:rsidRP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 xml:space="preserve">sind von dieser Anforderung ausgenommen. </w:t>
            </w:r>
          </w:p>
          <w:p w14:paraId="0512DBED" w14:textId="77777777" w:rsidR="003438E6" w:rsidRDefault="003438E6" w:rsidP="003438E6">
            <w:pPr>
              <w:pStyle w:val="Standardklein"/>
              <w:spacing w:line="240" w:lineRule="auto"/>
              <w:jc w:val="left"/>
              <w:rPr>
                <w:sz w:val="20"/>
                <w:szCs w:val="20"/>
              </w:rPr>
            </w:pPr>
            <w:r w:rsidRPr="003438E6">
              <w:rPr>
                <w:sz w:val="20"/>
                <w:szCs w:val="20"/>
              </w:rPr>
              <w:t>•</w:t>
            </w:r>
            <w:r>
              <w:rPr>
                <w:sz w:val="20"/>
                <w:szCs w:val="20"/>
              </w:rPr>
              <w:t xml:space="preserve"> </w:t>
            </w:r>
            <w:r w:rsidRPr="003438E6">
              <w:rPr>
                <w:sz w:val="20"/>
                <w:szCs w:val="20"/>
              </w:rPr>
              <w:t xml:space="preserve">Die Verwendung zinnorganischer Verbindungen als Katalysator ist in der </w:t>
            </w:r>
          </w:p>
          <w:p w14:paraId="146FEFAC" w14:textId="4BB9260D" w:rsidR="003438E6" w:rsidRDefault="003438E6" w:rsidP="003438E6">
            <w:pPr>
              <w:pStyle w:val="Standardklein"/>
              <w:spacing w:line="240" w:lineRule="auto"/>
              <w:jc w:val="left"/>
              <w:rPr>
                <w:sz w:val="20"/>
                <w:szCs w:val="20"/>
              </w:rPr>
            </w:pPr>
            <w:r>
              <w:rPr>
                <w:sz w:val="20"/>
                <w:szCs w:val="20"/>
              </w:rPr>
              <w:t xml:space="preserve">   </w:t>
            </w:r>
            <w:r w:rsidRPr="003438E6">
              <w:rPr>
                <w:sz w:val="20"/>
                <w:szCs w:val="20"/>
              </w:rPr>
              <w:t>Produktion des Silikon-Polymers nicht erlaubt.</w:t>
            </w:r>
          </w:p>
        </w:tc>
      </w:tr>
      <w:tr w:rsidR="00766BB0" w:rsidRPr="003C7026" w14:paraId="3DB67D03" w14:textId="77777777" w:rsidTr="00500850">
        <w:trPr>
          <w:trHeight w:val="516"/>
        </w:trPr>
        <w:tc>
          <w:tcPr>
            <w:tcW w:w="1231" w:type="dxa"/>
            <w:shd w:val="clear" w:color="auto" w:fill="auto"/>
          </w:tcPr>
          <w:p w14:paraId="5D9C2FC9" w14:textId="40B4E23E" w:rsidR="00766BB0" w:rsidRDefault="0073080D" w:rsidP="00500850">
            <w:pPr>
              <w:pStyle w:val="Textkrper"/>
              <w:tabs>
                <w:tab w:val="left" w:pos="8222"/>
              </w:tabs>
              <w:spacing w:line="240" w:lineRule="auto"/>
              <w:jc w:val="left"/>
              <w:rPr>
                <w:b/>
                <w:sz w:val="22"/>
              </w:rPr>
            </w:pPr>
            <w:r>
              <w:rPr>
                <w:b/>
                <w:sz w:val="22"/>
              </w:rPr>
              <w:t>3.2</w:t>
            </w:r>
            <w:r w:rsidR="00766BB0">
              <w:rPr>
                <w:b/>
                <w:sz w:val="22"/>
              </w:rPr>
              <w:t>.10</w:t>
            </w:r>
          </w:p>
        </w:tc>
        <w:tc>
          <w:tcPr>
            <w:tcW w:w="8581" w:type="dxa"/>
            <w:shd w:val="clear" w:color="auto" w:fill="auto"/>
          </w:tcPr>
          <w:p w14:paraId="081ADCAE" w14:textId="4647BE90" w:rsidR="003438E6" w:rsidRPr="003438E6" w:rsidRDefault="00766BB0" w:rsidP="003438E6">
            <w:pPr>
              <w:pStyle w:val="Standardklein"/>
              <w:spacing w:line="240" w:lineRule="auto"/>
              <w:rPr>
                <w:sz w:val="20"/>
                <w:szCs w:val="20"/>
              </w:rPr>
            </w:pPr>
            <w:r>
              <w:rPr>
                <w:sz w:val="20"/>
                <w:szCs w:val="20"/>
              </w:rPr>
              <w:t xml:space="preserve">- </w:t>
            </w:r>
            <w:r w:rsidR="003438E6">
              <w:rPr>
                <w:sz w:val="20"/>
                <w:szCs w:val="20"/>
              </w:rPr>
              <w:t>a</w:t>
            </w:r>
            <w:r w:rsidR="003438E6" w:rsidRPr="003438E6">
              <w:rPr>
                <w:sz w:val="20"/>
                <w:szCs w:val="20"/>
              </w:rPr>
              <w:t>uf der Verpackung folgende Hinweise gegeben werden:</w:t>
            </w:r>
          </w:p>
          <w:p w14:paraId="0990AEA5" w14:textId="7B51C486" w:rsidR="003438E6" w:rsidRPr="003438E6" w:rsidRDefault="003438E6" w:rsidP="003438E6">
            <w:pPr>
              <w:pStyle w:val="Standardklein"/>
              <w:spacing w:line="240" w:lineRule="auto"/>
              <w:rPr>
                <w:sz w:val="20"/>
                <w:szCs w:val="20"/>
              </w:rPr>
            </w:pPr>
            <w:r w:rsidRPr="003438E6">
              <w:rPr>
                <w:sz w:val="20"/>
                <w:szCs w:val="20"/>
              </w:rPr>
              <w:t>•</w:t>
            </w:r>
            <w:r>
              <w:rPr>
                <w:sz w:val="20"/>
                <w:szCs w:val="20"/>
              </w:rPr>
              <w:t xml:space="preserve"> </w:t>
            </w:r>
            <w:r w:rsidRPr="003438E6">
              <w:rPr>
                <w:sz w:val="20"/>
                <w:szCs w:val="20"/>
              </w:rPr>
              <w:t>Der Hinweis, dass das Produkt mehrfach verwendet werden kann.</w:t>
            </w:r>
          </w:p>
          <w:p w14:paraId="4BE2251C" w14:textId="5271D6A1" w:rsidR="00766BB0" w:rsidRDefault="003438E6" w:rsidP="003438E6">
            <w:pPr>
              <w:pStyle w:val="Standardklein"/>
              <w:spacing w:line="240" w:lineRule="auto"/>
              <w:jc w:val="left"/>
              <w:rPr>
                <w:sz w:val="20"/>
                <w:szCs w:val="20"/>
              </w:rPr>
            </w:pPr>
            <w:r w:rsidRPr="003438E6">
              <w:rPr>
                <w:sz w:val="20"/>
                <w:szCs w:val="20"/>
              </w:rPr>
              <w:t>•</w:t>
            </w:r>
            <w:r>
              <w:rPr>
                <w:sz w:val="20"/>
                <w:szCs w:val="20"/>
              </w:rPr>
              <w:t xml:space="preserve"> D</w:t>
            </w:r>
            <w:r w:rsidRPr="003438E6">
              <w:rPr>
                <w:sz w:val="20"/>
                <w:szCs w:val="20"/>
              </w:rPr>
              <w:t>er Hinweis zur richtigen Entsorgung des Backpapiers im Restmüll.</w:t>
            </w:r>
          </w:p>
        </w:tc>
      </w:tr>
      <w:tr w:rsidR="001A5B75" w:rsidRPr="003C7026" w14:paraId="7D57250C" w14:textId="77777777" w:rsidTr="00500850">
        <w:trPr>
          <w:trHeight w:val="516"/>
        </w:trPr>
        <w:tc>
          <w:tcPr>
            <w:tcW w:w="1231" w:type="dxa"/>
            <w:shd w:val="clear" w:color="auto" w:fill="auto"/>
          </w:tcPr>
          <w:p w14:paraId="425CFF5F" w14:textId="63924C83" w:rsidR="001A5B75" w:rsidRDefault="0073080D" w:rsidP="00500850">
            <w:pPr>
              <w:pStyle w:val="Textkrper"/>
              <w:tabs>
                <w:tab w:val="left" w:pos="8222"/>
              </w:tabs>
              <w:spacing w:line="240" w:lineRule="auto"/>
              <w:jc w:val="left"/>
              <w:rPr>
                <w:b/>
                <w:sz w:val="22"/>
              </w:rPr>
            </w:pPr>
            <w:r>
              <w:rPr>
                <w:b/>
                <w:sz w:val="22"/>
              </w:rPr>
              <w:t>3.2</w:t>
            </w:r>
            <w:r w:rsidR="001A5B75">
              <w:rPr>
                <w:b/>
                <w:sz w:val="22"/>
              </w:rPr>
              <w:t>.11</w:t>
            </w:r>
          </w:p>
        </w:tc>
        <w:tc>
          <w:tcPr>
            <w:tcW w:w="8581" w:type="dxa"/>
            <w:shd w:val="clear" w:color="auto" w:fill="auto"/>
          </w:tcPr>
          <w:p w14:paraId="3EB130DF" w14:textId="77777777" w:rsidR="00540389" w:rsidRDefault="001A5B75" w:rsidP="00074DC2">
            <w:pPr>
              <w:pStyle w:val="Standardklein"/>
              <w:spacing w:line="240" w:lineRule="auto"/>
              <w:jc w:val="left"/>
              <w:rPr>
                <w:sz w:val="20"/>
                <w:szCs w:val="20"/>
              </w:rPr>
            </w:pPr>
            <w:r>
              <w:rPr>
                <w:sz w:val="20"/>
                <w:szCs w:val="20"/>
              </w:rPr>
              <w:t xml:space="preserve">- </w:t>
            </w:r>
            <w:r w:rsidR="00540389">
              <w:rPr>
                <w:sz w:val="20"/>
                <w:szCs w:val="20"/>
              </w:rPr>
              <w:t>d</w:t>
            </w:r>
            <w:r w:rsidR="00540389" w:rsidRPr="00540389">
              <w:rPr>
                <w:sz w:val="20"/>
                <w:szCs w:val="20"/>
              </w:rPr>
              <w:t xml:space="preserve">as Verpackungsmaterial der Verkaufsverpackung aus Papier, Pappe oder Karton </w:t>
            </w:r>
          </w:p>
          <w:p w14:paraId="7C895CBD" w14:textId="77777777" w:rsidR="00540389" w:rsidRDefault="00540389" w:rsidP="00074DC2">
            <w:pPr>
              <w:pStyle w:val="Standardklein"/>
              <w:spacing w:line="240" w:lineRule="auto"/>
              <w:jc w:val="left"/>
              <w:rPr>
                <w:sz w:val="20"/>
                <w:szCs w:val="20"/>
              </w:rPr>
            </w:pPr>
            <w:r>
              <w:rPr>
                <w:sz w:val="20"/>
                <w:szCs w:val="20"/>
              </w:rPr>
              <w:t xml:space="preserve">  </w:t>
            </w:r>
            <w:r w:rsidRPr="00540389">
              <w:rPr>
                <w:sz w:val="20"/>
                <w:szCs w:val="20"/>
              </w:rPr>
              <w:t>bestehen</w:t>
            </w:r>
            <w:r>
              <w:rPr>
                <w:sz w:val="20"/>
                <w:szCs w:val="20"/>
              </w:rPr>
              <w:t xml:space="preserve"> soll</w:t>
            </w:r>
            <w:r w:rsidRPr="00540389">
              <w:rPr>
                <w:sz w:val="20"/>
                <w:szCs w:val="20"/>
              </w:rPr>
              <w:t xml:space="preserve">, dessen Faseranteil zu mindestens zu 90 % aus wiedergewonnenen </w:t>
            </w:r>
          </w:p>
          <w:p w14:paraId="076E9C30" w14:textId="77777777" w:rsidR="0010631A" w:rsidRDefault="00540389" w:rsidP="00074DC2">
            <w:pPr>
              <w:pStyle w:val="Standardklein"/>
              <w:spacing w:line="240" w:lineRule="auto"/>
              <w:jc w:val="left"/>
              <w:rPr>
                <w:sz w:val="20"/>
                <w:szCs w:val="20"/>
              </w:rPr>
            </w:pPr>
            <w:r>
              <w:rPr>
                <w:sz w:val="20"/>
                <w:szCs w:val="20"/>
              </w:rPr>
              <w:t xml:space="preserve">  </w:t>
            </w:r>
            <w:r w:rsidRPr="00540389">
              <w:rPr>
                <w:sz w:val="20"/>
                <w:szCs w:val="20"/>
              </w:rPr>
              <w:t>Fasern (Recyclingmaterial) besteht. Zellstoff für einen eventuelle</w:t>
            </w:r>
            <w:r w:rsidR="0010631A">
              <w:rPr>
                <w:sz w:val="20"/>
                <w:szCs w:val="20"/>
              </w:rPr>
              <w:t xml:space="preserve">n </w:t>
            </w:r>
          </w:p>
          <w:p w14:paraId="78381CFB" w14:textId="77777777" w:rsidR="0010631A" w:rsidRDefault="0010631A" w:rsidP="00074DC2">
            <w:pPr>
              <w:pStyle w:val="Standardklein"/>
              <w:spacing w:line="240" w:lineRule="auto"/>
              <w:jc w:val="left"/>
              <w:rPr>
                <w:sz w:val="20"/>
                <w:szCs w:val="20"/>
              </w:rPr>
            </w:pPr>
            <w:r>
              <w:rPr>
                <w:sz w:val="20"/>
                <w:szCs w:val="20"/>
              </w:rPr>
              <w:t xml:space="preserve">  </w:t>
            </w:r>
            <w:r w:rsidR="00540389" w:rsidRPr="00540389">
              <w:rPr>
                <w:sz w:val="20"/>
                <w:szCs w:val="20"/>
              </w:rPr>
              <w:t xml:space="preserve">Frischfaseranteil der Deckschicht muss aus nachhaltiger Forstwirtschaft stammen </w:t>
            </w:r>
          </w:p>
          <w:p w14:paraId="7CA5B23A" w14:textId="3636F6AF" w:rsidR="001A5B75" w:rsidRDefault="0010631A" w:rsidP="00074DC2">
            <w:pPr>
              <w:pStyle w:val="Standardklein"/>
              <w:spacing w:line="240" w:lineRule="auto"/>
              <w:jc w:val="left"/>
              <w:rPr>
                <w:sz w:val="20"/>
                <w:szCs w:val="20"/>
              </w:rPr>
            </w:pPr>
            <w:r>
              <w:rPr>
                <w:sz w:val="20"/>
                <w:szCs w:val="20"/>
              </w:rPr>
              <w:t xml:space="preserve">  </w:t>
            </w:r>
            <w:r w:rsidR="00540389" w:rsidRPr="00540389">
              <w:rPr>
                <w:sz w:val="20"/>
                <w:szCs w:val="20"/>
              </w:rPr>
              <w:t xml:space="preserve">(siehe Anforderung </w:t>
            </w:r>
            <w:r w:rsidR="0073080D">
              <w:rPr>
                <w:sz w:val="20"/>
                <w:szCs w:val="20"/>
              </w:rPr>
              <w:t>3.2</w:t>
            </w:r>
            <w:r w:rsidR="00540389" w:rsidRPr="00540389">
              <w:rPr>
                <w:sz w:val="20"/>
                <w:szCs w:val="20"/>
              </w:rPr>
              <w:t>.4.)</w:t>
            </w:r>
          </w:p>
          <w:p w14:paraId="04BDB861" w14:textId="3DCEE07B" w:rsidR="0010631A" w:rsidRDefault="0010631A" w:rsidP="00074DC2">
            <w:pPr>
              <w:pStyle w:val="Standardklein"/>
              <w:spacing w:line="240" w:lineRule="auto"/>
              <w:jc w:val="left"/>
              <w:rPr>
                <w:sz w:val="20"/>
                <w:szCs w:val="20"/>
              </w:rPr>
            </w:pPr>
          </w:p>
        </w:tc>
      </w:tr>
    </w:tbl>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3D666E" w:rsidRPr="00F1664D" w14:paraId="6549A3BE" w14:textId="77777777" w:rsidTr="00500850">
        <w:trPr>
          <w:trHeight w:val="488"/>
        </w:trPr>
        <w:tc>
          <w:tcPr>
            <w:tcW w:w="1273" w:type="dxa"/>
            <w:tcBorders>
              <w:top w:val="nil"/>
              <w:left w:val="nil"/>
              <w:bottom w:val="nil"/>
            </w:tcBorders>
            <w:vAlign w:val="center"/>
          </w:tcPr>
          <w:p w14:paraId="2B1758F5" w14:textId="77777777" w:rsidR="003D666E" w:rsidRPr="00F1664D" w:rsidRDefault="003D666E" w:rsidP="00500850">
            <w:pPr>
              <w:rPr>
                <w:rFonts w:cs="Arial"/>
                <w:b/>
              </w:rPr>
            </w:pPr>
            <w:r w:rsidRPr="00F1664D">
              <w:rPr>
                <w:rFonts w:cs="Arial"/>
                <w:b/>
              </w:rPr>
              <w:lastRenderedPageBreak/>
              <w:t>Ort:</w:t>
            </w:r>
          </w:p>
        </w:tc>
        <w:tc>
          <w:tcPr>
            <w:tcW w:w="2030" w:type="dxa"/>
            <w:tcBorders>
              <w:bottom w:val="single" w:sz="4" w:space="0" w:color="auto"/>
            </w:tcBorders>
            <w:vAlign w:val="center"/>
          </w:tcPr>
          <w:p w14:paraId="39BC816D" w14:textId="77777777" w:rsidR="003D666E" w:rsidRPr="00F1664D" w:rsidRDefault="003D666E" w:rsidP="00500850">
            <w:pPr>
              <w:rPr>
                <w:rFonts w:cs="Arial"/>
              </w:rPr>
            </w:pPr>
            <w:r w:rsidRPr="00F1664D">
              <w:rPr>
                <w:rFonts w:cs="Arial"/>
              </w:rPr>
              <w:fldChar w:fldCharType="begin">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bookmarkEnd w:id="4"/>
          </w:p>
        </w:tc>
        <w:tc>
          <w:tcPr>
            <w:tcW w:w="448" w:type="dxa"/>
            <w:tcBorders>
              <w:top w:val="nil"/>
              <w:bottom w:val="nil"/>
            </w:tcBorders>
          </w:tcPr>
          <w:p w14:paraId="0FBE04F2" w14:textId="77777777" w:rsidR="003D666E" w:rsidRPr="00F1664D" w:rsidRDefault="003D666E" w:rsidP="00500850">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07D0834C" w14:textId="77777777" w:rsidR="003D666E" w:rsidRPr="00F1664D" w:rsidRDefault="003D666E" w:rsidP="00500850">
                <w:pPr>
                  <w:jc w:val="center"/>
                  <w:rPr>
                    <w:rFonts w:cs="Arial"/>
                    <w:b/>
                  </w:rPr>
                </w:pPr>
                <w:r w:rsidRPr="00F1664D">
                  <w:rPr>
                    <w:rFonts w:cs="Arial"/>
                    <w:b/>
                    <w:noProof/>
                  </w:rPr>
                  <w:drawing>
                    <wp:inline distT="0" distB="0" distL="0" distR="0" wp14:anchorId="18EE183F" wp14:editId="0124DB9E">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3D666E" w:rsidRPr="00F1664D" w14:paraId="203E3649" w14:textId="77777777" w:rsidTr="00500850">
        <w:tc>
          <w:tcPr>
            <w:tcW w:w="1273" w:type="dxa"/>
            <w:tcBorders>
              <w:top w:val="nil"/>
              <w:left w:val="nil"/>
              <w:bottom w:val="nil"/>
              <w:right w:val="nil"/>
            </w:tcBorders>
            <w:vAlign w:val="center"/>
          </w:tcPr>
          <w:p w14:paraId="551BA583" w14:textId="77777777" w:rsidR="003D666E" w:rsidRPr="00F1664D" w:rsidRDefault="003D666E" w:rsidP="00500850">
            <w:pPr>
              <w:rPr>
                <w:rFonts w:cs="Arial"/>
                <w:b/>
              </w:rPr>
            </w:pPr>
          </w:p>
        </w:tc>
        <w:tc>
          <w:tcPr>
            <w:tcW w:w="2030" w:type="dxa"/>
            <w:tcBorders>
              <w:left w:val="nil"/>
              <w:right w:val="nil"/>
            </w:tcBorders>
            <w:vAlign w:val="center"/>
          </w:tcPr>
          <w:p w14:paraId="20A9653D" w14:textId="77777777" w:rsidR="003D666E" w:rsidRPr="00F1664D" w:rsidRDefault="003D666E" w:rsidP="00500850">
            <w:pPr>
              <w:jc w:val="center"/>
              <w:rPr>
                <w:rFonts w:cs="Arial"/>
                <w:b/>
              </w:rPr>
            </w:pPr>
          </w:p>
        </w:tc>
        <w:tc>
          <w:tcPr>
            <w:tcW w:w="448" w:type="dxa"/>
            <w:tcBorders>
              <w:top w:val="nil"/>
              <w:left w:val="nil"/>
              <w:bottom w:val="nil"/>
            </w:tcBorders>
          </w:tcPr>
          <w:p w14:paraId="1D9D960D" w14:textId="77777777" w:rsidR="003D666E" w:rsidRPr="00F1664D" w:rsidRDefault="003D666E" w:rsidP="00500850">
            <w:pPr>
              <w:jc w:val="center"/>
              <w:rPr>
                <w:rFonts w:cs="Arial"/>
                <w:b/>
              </w:rPr>
            </w:pPr>
          </w:p>
        </w:tc>
        <w:tc>
          <w:tcPr>
            <w:tcW w:w="5580" w:type="dxa"/>
            <w:vMerge/>
            <w:tcBorders>
              <w:right w:val="single" w:sz="4" w:space="0" w:color="auto"/>
            </w:tcBorders>
            <w:vAlign w:val="center"/>
          </w:tcPr>
          <w:p w14:paraId="41922FBD" w14:textId="77777777" w:rsidR="003D666E" w:rsidRPr="00F1664D" w:rsidRDefault="003D666E" w:rsidP="00500850">
            <w:pPr>
              <w:jc w:val="center"/>
              <w:rPr>
                <w:rFonts w:cs="Arial"/>
                <w:b/>
              </w:rPr>
            </w:pPr>
          </w:p>
        </w:tc>
      </w:tr>
      <w:tr w:rsidR="003D666E" w:rsidRPr="00F1664D" w14:paraId="4D7CA766" w14:textId="77777777" w:rsidTr="00500850">
        <w:trPr>
          <w:trHeight w:val="1348"/>
        </w:trPr>
        <w:tc>
          <w:tcPr>
            <w:tcW w:w="1273" w:type="dxa"/>
            <w:tcBorders>
              <w:top w:val="nil"/>
              <w:left w:val="nil"/>
              <w:bottom w:val="nil"/>
            </w:tcBorders>
            <w:vAlign w:val="center"/>
          </w:tcPr>
          <w:p w14:paraId="0DB55315" w14:textId="77777777" w:rsidR="003D666E" w:rsidRPr="00F1664D" w:rsidRDefault="003D666E" w:rsidP="00500850">
            <w:pPr>
              <w:rPr>
                <w:rFonts w:cs="Arial"/>
                <w:b/>
              </w:rPr>
            </w:pPr>
            <w:r w:rsidRPr="00F1664D">
              <w:rPr>
                <w:rFonts w:cs="Arial"/>
                <w:b/>
              </w:rPr>
              <w:t>Datum:</w:t>
            </w:r>
          </w:p>
        </w:tc>
        <w:tc>
          <w:tcPr>
            <w:tcW w:w="2030" w:type="dxa"/>
            <w:vAlign w:val="center"/>
          </w:tcPr>
          <w:p w14:paraId="004107D4" w14:textId="77777777" w:rsidR="003D666E" w:rsidRPr="00F1664D" w:rsidRDefault="003D666E" w:rsidP="00500850">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48" w:type="dxa"/>
            <w:tcBorders>
              <w:top w:val="nil"/>
              <w:bottom w:val="nil"/>
            </w:tcBorders>
          </w:tcPr>
          <w:p w14:paraId="59D5F029" w14:textId="77777777" w:rsidR="003D666E" w:rsidRPr="00F1664D" w:rsidRDefault="003D666E" w:rsidP="00500850">
            <w:pPr>
              <w:jc w:val="right"/>
              <w:rPr>
                <w:rFonts w:cs="Arial"/>
                <w:b/>
              </w:rPr>
            </w:pPr>
          </w:p>
        </w:tc>
        <w:tc>
          <w:tcPr>
            <w:tcW w:w="5580" w:type="dxa"/>
            <w:vMerge/>
            <w:tcBorders>
              <w:bottom w:val="single" w:sz="4" w:space="0" w:color="auto"/>
              <w:right w:val="single" w:sz="4" w:space="0" w:color="auto"/>
            </w:tcBorders>
            <w:vAlign w:val="center"/>
          </w:tcPr>
          <w:p w14:paraId="7F6B2BCF" w14:textId="77777777" w:rsidR="003D666E" w:rsidRPr="00F1664D" w:rsidRDefault="003D666E" w:rsidP="00500850">
            <w:pPr>
              <w:jc w:val="right"/>
              <w:rPr>
                <w:rFonts w:cs="Arial"/>
                <w:b/>
              </w:rPr>
            </w:pPr>
          </w:p>
        </w:tc>
      </w:tr>
    </w:tbl>
    <w:p w14:paraId="422ECFFE" w14:textId="77777777" w:rsidR="001D4353" w:rsidRDefault="003D666E" w:rsidP="005D42C2">
      <w:pPr>
        <w:jc w:val="right"/>
      </w:pPr>
      <w:r w:rsidRPr="00F1664D">
        <w:rPr>
          <w:rFonts w:cs="Arial"/>
          <w:b/>
        </w:rPr>
        <w:t>Rechtsverbindliche Unterschrift / Firmenstempel</w:t>
      </w:r>
    </w:p>
    <w:sectPr w:rsidR="001D4353"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E2B37" w14:textId="77777777" w:rsidR="00F42E1C" w:rsidRDefault="00F42E1C" w:rsidP="003D666E">
      <w:r>
        <w:separator/>
      </w:r>
    </w:p>
  </w:endnote>
  <w:endnote w:type="continuationSeparator" w:id="0">
    <w:p w14:paraId="01C65B70" w14:textId="77777777" w:rsidR="00F42E1C" w:rsidRDefault="00F42E1C" w:rsidP="003D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INPro">
    <w:panose1 w:val="020B0504020201010104"/>
    <w:charset w:val="00"/>
    <w:family w:val="swiss"/>
    <w:notTrueType/>
    <w:pitch w:val="variable"/>
    <w:sig w:usb0="A00002FF" w:usb1="4000A47B"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5E0F4" w14:textId="30F3F6B3" w:rsidR="003D666E" w:rsidRPr="00B010C2" w:rsidRDefault="005C2227" w:rsidP="00581C26">
    <w:pPr>
      <w:pStyle w:val="Fuzeile"/>
      <w:tabs>
        <w:tab w:val="clear" w:pos="9072"/>
        <w:tab w:val="right" w:pos="9540"/>
      </w:tabs>
      <w:rPr>
        <w:rFonts w:cs="Arial"/>
      </w:rPr>
    </w:pPr>
    <w:r>
      <w:rPr>
        <w:rFonts w:cs="Arial"/>
      </w:rPr>
      <w:t>12.0</w:t>
    </w:r>
    <w:r w:rsidR="00C73007">
      <w:rPr>
        <w:rFonts w:cs="Arial"/>
      </w:rPr>
      <w:t>3</w:t>
    </w:r>
    <w:r>
      <w:rPr>
        <w:rFonts w:cs="Arial"/>
      </w:rPr>
      <w:t>.202</w:t>
    </w:r>
    <w:r w:rsidR="00C73007">
      <w:rPr>
        <w:rFonts w:cs="Arial"/>
      </w:rPr>
      <w:t>5</w:t>
    </w:r>
    <w:r w:rsidR="003D666E">
      <w:rPr>
        <w:rFonts w:cs="Arial"/>
      </w:rPr>
      <w:t xml:space="preserve"> </w:t>
    </w:r>
    <w:r w:rsidR="003D666E" w:rsidRPr="00B010C2">
      <w:rPr>
        <w:rFonts w:cs="Arial"/>
      </w:rPr>
      <w:t xml:space="preserve">Anlage </w:t>
    </w:r>
    <w:r w:rsidR="003D666E">
      <w:rPr>
        <w:rFonts w:cs="Arial"/>
      </w:rPr>
      <w:t>1</w:t>
    </w:r>
    <w:r w:rsidR="0073080D">
      <w:rPr>
        <w:rFonts w:cs="Arial"/>
      </w:rPr>
      <w:t>b</w:t>
    </w:r>
    <w:r w:rsidR="003D666E" w:rsidRPr="00B010C2">
      <w:rPr>
        <w:rFonts w:cs="Arial"/>
      </w:rPr>
      <w:tab/>
    </w:r>
    <w:r w:rsidR="003D666E" w:rsidRPr="00B010C2">
      <w:rPr>
        <w:rStyle w:val="Seitenzahl"/>
        <w:rFonts w:cs="Arial"/>
      </w:rPr>
      <w:fldChar w:fldCharType="begin"/>
    </w:r>
    <w:r w:rsidR="003D666E" w:rsidRPr="00B010C2">
      <w:rPr>
        <w:rStyle w:val="Seitenzahl"/>
        <w:rFonts w:cs="Arial"/>
      </w:rPr>
      <w:instrText xml:space="preserve"> PAGE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w:t>
    </w:r>
    <w:r w:rsidR="003D666E" w:rsidRPr="00B010C2">
      <w:rPr>
        <w:rStyle w:val="Seitenzahl"/>
        <w:rFonts w:cs="Arial"/>
      </w:rPr>
      <w:fldChar w:fldCharType="begin"/>
    </w:r>
    <w:r w:rsidR="003D666E" w:rsidRPr="00B010C2">
      <w:rPr>
        <w:rStyle w:val="Seitenzahl"/>
        <w:rFonts w:cs="Arial"/>
      </w:rPr>
      <w:instrText xml:space="preserve"> NUMPAGES </w:instrText>
    </w:r>
    <w:r w:rsidR="003D666E" w:rsidRPr="00B010C2">
      <w:rPr>
        <w:rStyle w:val="Seitenzahl"/>
        <w:rFonts w:cs="Arial"/>
      </w:rPr>
      <w:fldChar w:fldCharType="separate"/>
    </w:r>
    <w:r w:rsidR="003D666E">
      <w:rPr>
        <w:rStyle w:val="Seitenzahl"/>
        <w:rFonts w:cs="Arial"/>
        <w:noProof/>
      </w:rPr>
      <w:t>4</w:t>
    </w:r>
    <w:r w:rsidR="003D666E" w:rsidRPr="00B010C2">
      <w:rPr>
        <w:rStyle w:val="Seitenzahl"/>
        <w:rFonts w:cs="Arial"/>
      </w:rPr>
      <w:fldChar w:fldCharType="end"/>
    </w:r>
    <w:r w:rsidR="003D666E" w:rsidRPr="00B010C2">
      <w:rPr>
        <w:rStyle w:val="Seitenzahl"/>
        <w:rFonts w:cs="Arial"/>
      </w:rPr>
      <w:tab/>
      <w:t xml:space="preserve">     DE-UZ </w:t>
    </w:r>
    <w:r w:rsidR="00C73007">
      <w:rPr>
        <w:rStyle w:val="Seitenzahl"/>
        <w:rFonts w:cs="Arial"/>
      </w:rPr>
      <w:t>6</w:t>
    </w:r>
    <w:r w:rsidR="00985A88">
      <w:rPr>
        <w:rStyle w:val="Seitenzahl"/>
        <w:rFonts w:cs="Arial"/>
      </w:rPr>
      <w:t>5</w:t>
    </w:r>
    <w:r w:rsidR="003D666E" w:rsidRPr="00B010C2">
      <w:rPr>
        <w:rStyle w:val="Seitenzahl"/>
        <w:rFonts w:cs="Arial"/>
      </w:rPr>
      <w:t xml:space="preserve"> Ausgabe </w:t>
    </w:r>
    <w:r w:rsidR="003D666E">
      <w:rPr>
        <w:rStyle w:val="Seitenzahl"/>
        <w:rFonts w:cs="Arial"/>
      </w:rPr>
      <w:t>Januar</w:t>
    </w:r>
    <w:r w:rsidR="003D666E" w:rsidRPr="00B010C2">
      <w:rPr>
        <w:rStyle w:val="Seitenzahl"/>
        <w:rFonts w:cs="Arial"/>
      </w:rPr>
      <w:t xml:space="preserve"> 20</w:t>
    </w:r>
    <w:r w:rsidR="003D666E">
      <w:rPr>
        <w:rStyle w:val="Seitenzahl"/>
        <w:rFonts w:cs="Arial"/>
      </w:rPr>
      <w:t>2</w:t>
    </w:r>
    <w:r w:rsidR="00C73007">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CF07B" w14:textId="77777777" w:rsidR="003D666E" w:rsidRPr="00731E02" w:rsidRDefault="003D666E"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917FD" w14:textId="77777777" w:rsidR="00F42E1C" w:rsidRDefault="00F42E1C" w:rsidP="003D666E">
      <w:r>
        <w:separator/>
      </w:r>
    </w:p>
  </w:footnote>
  <w:footnote w:type="continuationSeparator" w:id="0">
    <w:p w14:paraId="15AAC3E4" w14:textId="77777777" w:rsidR="00F42E1C" w:rsidRDefault="00F42E1C" w:rsidP="003D666E">
      <w:r>
        <w:continuationSeparator/>
      </w:r>
    </w:p>
  </w:footnote>
  <w:footnote w:id="1">
    <w:p w14:paraId="74D20E31" w14:textId="77777777" w:rsidR="003835B5" w:rsidRDefault="003835B5" w:rsidP="003835B5">
      <w:pPr>
        <w:pStyle w:val="Funotentext"/>
      </w:pPr>
      <w:r>
        <w:rPr>
          <w:rStyle w:val="Funotenzeichen"/>
        </w:rPr>
        <w:footnoteRef/>
      </w:r>
      <w:r>
        <w:t xml:space="preserve"> TNb </w:t>
      </w:r>
      <w:r w:rsidRPr="00D032F6">
        <w:t>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in DIN EN 12260 beschrieben.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22D02" w14:textId="77777777" w:rsidR="003D666E" w:rsidRDefault="003D666E">
    <w:pPr>
      <w:pStyle w:val="Kopfzeile"/>
    </w:pPr>
    <w:r>
      <w:rPr>
        <w:noProof/>
      </w:rPr>
      <w:drawing>
        <wp:anchor distT="0" distB="0" distL="114300" distR="114300" simplePos="0" relativeHeight="251660288" behindDoc="0" locked="0" layoutInCell="1" allowOverlap="1" wp14:anchorId="0E45AC7E" wp14:editId="21F72329">
          <wp:simplePos x="0" y="0"/>
          <wp:positionH relativeFrom="column">
            <wp:posOffset>5047615</wp:posOffset>
          </wp:positionH>
          <wp:positionV relativeFrom="paragraph">
            <wp:posOffset>-506095</wp:posOffset>
          </wp:positionV>
          <wp:extent cx="892175" cy="581025"/>
          <wp:effectExtent l="0" t="0" r="3175" b="952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E315B" w14:textId="77777777" w:rsidR="003D666E" w:rsidRDefault="003D666E">
    <w:pPr>
      <w:pStyle w:val="Kopfzeile"/>
    </w:pPr>
    <w:r>
      <w:rPr>
        <w:noProof/>
      </w:rPr>
      <w:drawing>
        <wp:anchor distT="0" distB="0" distL="114300" distR="114300" simplePos="0" relativeHeight="251659264" behindDoc="1" locked="0" layoutInCell="1" allowOverlap="0" wp14:anchorId="210C9704" wp14:editId="7B0A33FD">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132107C8"/>
    <w:multiLevelType w:val="hybridMultilevel"/>
    <w:tmpl w:val="7C4AA858"/>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13AD109D"/>
    <w:multiLevelType w:val="hybridMultilevel"/>
    <w:tmpl w:val="5B845088"/>
    <w:lvl w:ilvl="0" w:tplc="5E28ADA6">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4" w15:restartNumberingAfterBreak="0">
    <w:nsid w:val="50EC3662"/>
    <w:multiLevelType w:val="hybridMultilevel"/>
    <w:tmpl w:val="71C4F8AA"/>
    <w:lvl w:ilvl="0" w:tplc="34FABFF4">
      <w:start w:val="2"/>
      <w:numFmt w:val="bullet"/>
      <w:lvlText w:val="-"/>
      <w:lvlJc w:val="left"/>
      <w:pPr>
        <w:ind w:left="712" w:hanging="360"/>
      </w:pPr>
      <w:rPr>
        <w:rFonts w:ascii="DINPro" w:eastAsiaTheme="minorHAnsi" w:hAnsi="DINPro" w:cstheme="minorBidi" w:hint="default"/>
      </w:rPr>
    </w:lvl>
    <w:lvl w:ilvl="1" w:tplc="04070003" w:tentative="1">
      <w:start w:val="1"/>
      <w:numFmt w:val="bullet"/>
      <w:lvlText w:val="o"/>
      <w:lvlJc w:val="left"/>
      <w:pPr>
        <w:ind w:left="1432" w:hanging="360"/>
      </w:pPr>
      <w:rPr>
        <w:rFonts w:ascii="Courier New" w:hAnsi="Courier New" w:cs="Courier New" w:hint="default"/>
      </w:rPr>
    </w:lvl>
    <w:lvl w:ilvl="2" w:tplc="04070005" w:tentative="1">
      <w:start w:val="1"/>
      <w:numFmt w:val="bullet"/>
      <w:lvlText w:val=""/>
      <w:lvlJc w:val="left"/>
      <w:pPr>
        <w:ind w:left="2152" w:hanging="360"/>
      </w:pPr>
      <w:rPr>
        <w:rFonts w:ascii="Wingdings" w:hAnsi="Wingdings" w:hint="default"/>
      </w:rPr>
    </w:lvl>
    <w:lvl w:ilvl="3" w:tplc="04070001" w:tentative="1">
      <w:start w:val="1"/>
      <w:numFmt w:val="bullet"/>
      <w:lvlText w:val=""/>
      <w:lvlJc w:val="left"/>
      <w:pPr>
        <w:ind w:left="2872" w:hanging="360"/>
      </w:pPr>
      <w:rPr>
        <w:rFonts w:ascii="Symbol" w:hAnsi="Symbol" w:hint="default"/>
      </w:rPr>
    </w:lvl>
    <w:lvl w:ilvl="4" w:tplc="04070003" w:tentative="1">
      <w:start w:val="1"/>
      <w:numFmt w:val="bullet"/>
      <w:lvlText w:val="o"/>
      <w:lvlJc w:val="left"/>
      <w:pPr>
        <w:ind w:left="3592" w:hanging="360"/>
      </w:pPr>
      <w:rPr>
        <w:rFonts w:ascii="Courier New" w:hAnsi="Courier New" w:cs="Courier New" w:hint="default"/>
      </w:rPr>
    </w:lvl>
    <w:lvl w:ilvl="5" w:tplc="04070005" w:tentative="1">
      <w:start w:val="1"/>
      <w:numFmt w:val="bullet"/>
      <w:lvlText w:val=""/>
      <w:lvlJc w:val="left"/>
      <w:pPr>
        <w:ind w:left="4312" w:hanging="360"/>
      </w:pPr>
      <w:rPr>
        <w:rFonts w:ascii="Wingdings" w:hAnsi="Wingdings" w:hint="default"/>
      </w:rPr>
    </w:lvl>
    <w:lvl w:ilvl="6" w:tplc="04070001" w:tentative="1">
      <w:start w:val="1"/>
      <w:numFmt w:val="bullet"/>
      <w:lvlText w:val=""/>
      <w:lvlJc w:val="left"/>
      <w:pPr>
        <w:ind w:left="5032" w:hanging="360"/>
      </w:pPr>
      <w:rPr>
        <w:rFonts w:ascii="Symbol" w:hAnsi="Symbol" w:hint="default"/>
      </w:rPr>
    </w:lvl>
    <w:lvl w:ilvl="7" w:tplc="04070003" w:tentative="1">
      <w:start w:val="1"/>
      <w:numFmt w:val="bullet"/>
      <w:lvlText w:val="o"/>
      <w:lvlJc w:val="left"/>
      <w:pPr>
        <w:ind w:left="5752" w:hanging="360"/>
      </w:pPr>
      <w:rPr>
        <w:rFonts w:ascii="Courier New" w:hAnsi="Courier New" w:cs="Courier New" w:hint="default"/>
      </w:rPr>
    </w:lvl>
    <w:lvl w:ilvl="8" w:tplc="04070005" w:tentative="1">
      <w:start w:val="1"/>
      <w:numFmt w:val="bullet"/>
      <w:lvlText w:val=""/>
      <w:lvlJc w:val="left"/>
      <w:pPr>
        <w:ind w:left="6472" w:hanging="360"/>
      </w:pPr>
      <w:rPr>
        <w:rFonts w:ascii="Wingdings" w:hAnsi="Wingdings" w:hint="default"/>
      </w:rPr>
    </w:lvl>
  </w:abstractNum>
  <w:abstractNum w:abstractNumId="5" w15:restartNumberingAfterBreak="0">
    <w:nsid w:val="52CD4A00"/>
    <w:multiLevelType w:val="hybridMultilevel"/>
    <w:tmpl w:val="DAE8B62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DC4DCB"/>
    <w:multiLevelType w:val="hybridMultilevel"/>
    <w:tmpl w:val="4DE84A8E"/>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FB553C5"/>
    <w:multiLevelType w:val="hybridMultilevel"/>
    <w:tmpl w:val="54022CE8"/>
    <w:lvl w:ilvl="0" w:tplc="D8609D62">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8574911">
    <w:abstractNumId w:val="7"/>
  </w:num>
  <w:num w:numId="2" w16cid:durableId="1420173958">
    <w:abstractNumId w:val="0"/>
  </w:num>
  <w:num w:numId="3" w16cid:durableId="25286170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2856346">
    <w:abstractNumId w:val="8"/>
  </w:num>
  <w:num w:numId="5" w16cid:durableId="312178462">
    <w:abstractNumId w:val="3"/>
  </w:num>
  <w:num w:numId="6" w16cid:durableId="603339389">
    <w:abstractNumId w:val="9"/>
  </w:num>
  <w:num w:numId="7" w16cid:durableId="390689515">
    <w:abstractNumId w:val="4"/>
  </w:num>
  <w:num w:numId="8" w16cid:durableId="2080974594">
    <w:abstractNumId w:val="2"/>
  </w:num>
  <w:num w:numId="9" w16cid:durableId="255553636">
    <w:abstractNumId w:val="5"/>
  </w:num>
  <w:num w:numId="10" w16cid:durableId="711878199">
    <w:abstractNumId w:val="1"/>
  </w:num>
  <w:num w:numId="11" w16cid:durableId="16789936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3tmAYCGwKpOrdPJUnW7jpb4ky1PUPmDduJqjWPfu7GyUkgpb8MbVFvNLsa93rWjzH0CESEnH4tWEk4FSAUxHmg==" w:salt="8qHdeGiDSZ7l4z+KF4XH7A=="/>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666E"/>
    <w:rsid w:val="00011D99"/>
    <w:rsid w:val="00020CE4"/>
    <w:rsid w:val="000515FA"/>
    <w:rsid w:val="000624E3"/>
    <w:rsid w:val="00066C1C"/>
    <w:rsid w:val="00072572"/>
    <w:rsid w:val="00074DC2"/>
    <w:rsid w:val="00080B19"/>
    <w:rsid w:val="000938FF"/>
    <w:rsid w:val="000B6B8F"/>
    <w:rsid w:val="000F3F7C"/>
    <w:rsid w:val="0010412B"/>
    <w:rsid w:val="0010631A"/>
    <w:rsid w:val="001071AE"/>
    <w:rsid w:val="00131EC2"/>
    <w:rsid w:val="001373EB"/>
    <w:rsid w:val="001424B3"/>
    <w:rsid w:val="00192EC8"/>
    <w:rsid w:val="001A5B75"/>
    <w:rsid w:val="001C1B64"/>
    <w:rsid w:val="001D1040"/>
    <w:rsid w:val="001D4353"/>
    <w:rsid w:val="001D61A5"/>
    <w:rsid w:val="001F0DEC"/>
    <w:rsid w:val="001F114D"/>
    <w:rsid w:val="001F6344"/>
    <w:rsid w:val="00215893"/>
    <w:rsid w:val="00225879"/>
    <w:rsid w:val="00232939"/>
    <w:rsid w:val="0023514A"/>
    <w:rsid w:val="00252BD3"/>
    <w:rsid w:val="0026698E"/>
    <w:rsid w:val="002676C5"/>
    <w:rsid w:val="002A65A7"/>
    <w:rsid w:val="002B1E4F"/>
    <w:rsid w:val="002B3011"/>
    <w:rsid w:val="002E45B4"/>
    <w:rsid w:val="003438E6"/>
    <w:rsid w:val="00351B98"/>
    <w:rsid w:val="00351DF0"/>
    <w:rsid w:val="003558EC"/>
    <w:rsid w:val="003835B5"/>
    <w:rsid w:val="003D666E"/>
    <w:rsid w:val="00420B56"/>
    <w:rsid w:val="0043309D"/>
    <w:rsid w:val="00434333"/>
    <w:rsid w:val="00435DEC"/>
    <w:rsid w:val="00466663"/>
    <w:rsid w:val="004B003A"/>
    <w:rsid w:val="004C0DE1"/>
    <w:rsid w:val="004E19B6"/>
    <w:rsid w:val="00511C5A"/>
    <w:rsid w:val="00530DBA"/>
    <w:rsid w:val="00540389"/>
    <w:rsid w:val="00554477"/>
    <w:rsid w:val="005568DF"/>
    <w:rsid w:val="00583B0F"/>
    <w:rsid w:val="005925AF"/>
    <w:rsid w:val="005943A7"/>
    <w:rsid w:val="005C2227"/>
    <w:rsid w:val="005C4958"/>
    <w:rsid w:val="005D42C2"/>
    <w:rsid w:val="005F702C"/>
    <w:rsid w:val="00633F0F"/>
    <w:rsid w:val="006341E8"/>
    <w:rsid w:val="006F203D"/>
    <w:rsid w:val="007006CF"/>
    <w:rsid w:val="00712818"/>
    <w:rsid w:val="0073080D"/>
    <w:rsid w:val="00766BB0"/>
    <w:rsid w:val="00770F23"/>
    <w:rsid w:val="00774AFD"/>
    <w:rsid w:val="00795DA9"/>
    <w:rsid w:val="007A14B0"/>
    <w:rsid w:val="007C76FD"/>
    <w:rsid w:val="00871B41"/>
    <w:rsid w:val="008A313C"/>
    <w:rsid w:val="008B0C03"/>
    <w:rsid w:val="00926C8C"/>
    <w:rsid w:val="00955804"/>
    <w:rsid w:val="00985A88"/>
    <w:rsid w:val="009D0E82"/>
    <w:rsid w:val="009D1887"/>
    <w:rsid w:val="009D1F87"/>
    <w:rsid w:val="00A011E9"/>
    <w:rsid w:val="00A16B4B"/>
    <w:rsid w:val="00A50563"/>
    <w:rsid w:val="00A646A5"/>
    <w:rsid w:val="00AE373B"/>
    <w:rsid w:val="00B760ED"/>
    <w:rsid w:val="00BE1082"/>
    <w:rsid w:val="00BE5347"/>
    <w:rsid w:val="00C02B02"/>
    <w:rsid w:val="00C148F0"/>
    <w:rsid w:val="00C32BC9"/>
    <w:rsid w:val="00C528E9"/>
    <w:rsid w:val="00C55146"/>
    <w:rsid w:val="00C5588C"/>
    <w:rsid w:val="00C654CE"/>
    <w:rsid w:val="00C73007"/>
    <w:rsid w:val="00CA6595"/>
    <w:rsid w:val="00CB3026"/>
    <w:rsid w:val="00D14401"/>
    <w:rsid w:val="00D167EB"/>
    <w:rsid w:val="00D50C93"/>
    <w:rsid w:val="00D63DE9"/>
    <w:rsid w:val="00D91A62"/>
    <w:rsid w:val="00DD0312"/>
    <w:rsid w:val="00E13250"/>
    <w:rsid w:val="00E3044C"/>
    <w:rsid w:val="00E347D4"/>
    <w:rsid w:val="00E468AE"/>
    <w:rsid w:val="00E51063"/>
    <w:rsid w:val="00E6676D"/>
    <w:rsid w:val="00E815E5"/>
    <w:rsid w:val="00EA45F3"/>
    <w:rsid w:val="00EB661D"/>
    <w:rsid w:val="00EE3B92"/>
    <w:rsid w:val="00F42E1C"/>
    <w:rsid w:val="00F542A0"/>
    <w:rsid w:val="00F679EA"/>
    <w:rsid w:val="00FD0821"/>
    <w:rsid w:val="00FD2A06"/>
    <w:rsid w:val="00FF4A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B91F1A0"/>
  <w15:chartTrackingRefBased/>
  <w15:docId w15:val="{03C9699D-E7AE-4EE1-8D18-4391EE2B1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666E"/>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3D666E"/>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3D666E"/>
    <w:pPr>
      <w:tabs>
        <w:tab w:val="center" w:pos="4536"/>
        <w:tab w:val="right" w:pos="9072"/>
      </w:tabs>
    </w:pPr>
  </w:style>
  <w:style w:type="character" w:customStyle="1" w:styleId="KopfzeileZchn">
    <w:name w:val="Kopfzeile Zchn"/>
    <w:basedOn w:val="Absatz-Standardschriftart"/>
    <w:link w:val="Kopfzeile"/>
    <w:rsid w:val="003D666E"/>
    <w:rPr>
      <w:rFonts w:ascii="Verdana" w:eastAsia="Times New Roman" w:hAnsi="Verdana" w:cs="Times New Roman"/>
      <w:color w:val="000000"/>
      <w:sz w:val="20"/>
      <w:szCs w:val="20"/>
      <w:lang w:eastAsia="de-DE"/>
    </w:rPr>
  </w:style>
  <w:style w:type="paragraph" w:styleId="Fuzeile">
    <w:name w:val="footer"/>
    <w:basedOn w:val="Standard"/>
    <w:link w:val="FuzeileZchn"/>
    <w:rsid w:val="003D666E"/>
    <w:pPr>
      <w:tabs>
        <w:tab w:val="center" w:pos="4536"/>
        <w:tab w:val="right" w:pos="9072"/>
      </w:tabs>
    </w:pPr>
  </w:style>
  <w:style w:type="character" w:customStyle="1" w:styleId="FuzeileZchn">
    <w:name w:val="Fußzeile Zchn"/>
    <w:basedOn w:val="Absatz-Standardschriftart"/>
    <w:link w:val="Fuzeile"/>
    <w:rsid w:val="003D666E"/>
    <w:rPr>
      <w:rFonts w:ascii="Verdana" w:eastAsia="Times New Roman" w:hAnsi="Verdana" w:cs="Times New Roman"/>
      <w:color w:val="000000"/>
      <w:sz w:val="20"/>
      <w:szCs w:val="20"/>
      <w:lang w:eastAsia="de-DE"/>
    </w:r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3D666E"/>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3D666E"/>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3D666E"/>
    <w:rPr>
      <w:vertAlign w:val="superscript"/>
    </w:rPr>
  </w:style>
  <w:style w:type="character" w:styleId="Seitenzahl">
    <w:name w:val="page number"/>
    <w:basedOn w:val="Absatz-Standardschriftart"/>
    <w:rsid w:val="003D666E"/>
  </w:style>
  <w:style w:type="character" w:styleId="Hyperlink">
    <w:name w:val="Hyperlink"/>
    <w:basedOn w:val="Absatz-Standardschriftart"/>
    <w:uiPriority w:val="99"/>
    <w:unhideWhenUsed/>
    <w:qFormat/>
    <w:rsid w:val="003D666E"/>
    <w:rPr>
      <w:color w:val="0563C1" w:themeColor="hyperlink"/>
      <w:u w:val="single"/>
    </w:rPr>
  </w:style>
  <w:style w:type="paragraph" w:styleId="Textkrper">
    <w:name w:val="Body Text"/>
    <w:basedOn w:val="Standard"/>
    <w:link w:val="TextkrperZchn"/>
    <w:rsid w:val="003D666E"/>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3D666E"/>
    <w:rPr>
      <w:rFonts w:ascii="Arial" w:eastAsia="Times New Roman" w:hAnsi="Arial" w:cs="Arial"/>
      <w:sz w:val="28"/>
      <w:lang w:eastAsia="de-DE"/>
    </w:rPr>
  </w:style>
  <w:style w:type="paragraph" w:customStyle="1" w:styleId="Anhangberschrift1">
    <w:name w:val="Anhang Überschrift 1"/>
    <w:basedOn w:val="Standard"/>
    <w:next w:val="Standard"/>
    <w:qFormat/>
    <w:rsid w:val="003D666E"/>
    <w:pPr>
      <w:keepNext/>
      <w:numPr>
        <w:ilvl w:val="1"/>
        <w:numId w:val="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3D666E"/>
    <w:pPr>
      <w:keepNext/>
      <w:numPr>
        <w:ilvl w:val="2"/>
        <w:numId w:val="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3D666E"/>
    <w:pPr>
      <w:numPr>
        <w:numId w:val="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3D666E"/>
    <w:rPr>
      <w:rFonts w:ascii="Verdana" w:eastAsiaTheme="minorEastAsia" w:hAnsi="Verdana"/>
      <w:sz w:val="20"/>
      <w:szCs w:val="20"/>
      <w:lang w:eastAsia="ja-JP"/>
    </w:rPr>
  </w:style>
  <w:style w:type="paragraph" w:customStyle="1" w:styleId="Anhangberschrift">
    <w:name w:val="Anhang Überschrift"/>
    <w:basedOn w:val="Listenabsatz"/>
    <w:next w:val="Standard"/>
    <w:qFormat/>
    <w:rsid w:val="003D666E"/>
    <w:pPr>
      <w:keepNext/>
      <w:numPr>
        <w:numId w:val="2"/>
      </w:numPr>
      <w:tabs>
        <w:tab w:val="num" w:pos="360"/>
        <w:tab w:val="left" w:pos="1418"/>
      </w:tabs>
      <w:spacing w:before="120" w:after="120" w:line="288" w:lineRule="auto"/>
      <w:ind w:left="720" w:firstLine="0"/>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3D666E"/>
    <w:pPr>
      <w:numPr>
        <w:ilvl w:val="4"/>
        <w:numId w:val="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3D666E"/>
    <w:rPr>
      <w:rFonts w:ascii="Verdana" w:eastAsiaTheme="minorEastAsia" w:hAnsi="Verdana"/>
      <w:sz w:val="20"/>
      <w:lang w:eastAsia="ja-JP"/>
    </w:rPr>
  </w:style>
  <w:style w:type="paragraph" w:customStyle="1" w:styleId="Anhangberschrift3">
    <w:name w:val="Anhang Überschrift 3"/>
    <w:basedOn w:val="Anhangberschrift2"/>
    <w:next w:val="Standard"/>
    <w:rsid w:val="003D666E"/>
    <w:pPr>
      <w:numPr>
        <w:ilvl w:val="3"/>
      </w:numPr>
    </w:pPr>
    <w:rPr>
      <w:rFonts w:eastAsia="Times New Roman" w:cs="Times New Roman"/>
      <w:bCs/>
    </w:rPr>
  </w:style>
  <w:style w:type="paragraph" w:styleId="Listenabsatz">
    <w:name w:val="List Paragraph"/>
    <w:basedOn w:val="Standard"/>
    <w:uiPriority w:val="34"/>
    <w:qFormat/>
    <w:rsid w:val="003D666E"/>
    <w:pPr>
      <w:ind w:left="720"/>
      <w:contextualSpacing/>
    </w:pPr>
  </w:style>
  <w:style w:type="paragraph" w:customStyle="1" w:styleId="b1">
    <w:name w:val="Üb 1"/>
    <w:basedOn w:val="Listenabsatz"/>
    <w:next w:val="Standard"/>
    <w:qFormat/>
    <w:rsid w:val="00530DBA"/>
    <w:pPr>
      <w:keepNext/>
      <w:numPr>
        <w:numId w:val="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530DBA"/>
    <w:pPr>
      <w:numPr>
        <w:ilvl w:val="1"/>
      </w:numPr>
      <w:spacing w:before="240"/>
      <w:ind w:left="709" w:hanging="709"/>
      <w:outlineLvl w:val="1"/>
    </w:pPr>
    <w:rPr>
      <w:sz w:val="20"/>
    </w:rPr>
  </w:style>
  <w:style w:type="paragraph" w:customStyle="1" w:styleId="b3">
    <w:name w:val="Üb 3"/>
    <w:basedOn w:val="Listenabsatz"/>
    <w:next w:val="Standard"/>
    <w:qFormat/>
    <w:rsid w:val="00530DBA"/>
    <w:pPr>
      <w:keepNext/>
      <w:numPr>
        <w:ilvl w:val="2"/>
        <w:numId w:val="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530DBA"/>
    <w:pPr>
      <w:numPr>
        <w:ilvl w:val="3"/>
      </w:numPr>
      <w:ind w:left="1077" w:hanging="1077"/>
      <w:outlineLvl w:val="3"/>
    </w:pPr>
  </w:style>
  <w:style w:type="paragraph" w:customStyle="1" w:styleId="b5">
    <w:name w:val="Üb 5"/>
    <w:basedOn w:val="b4"/>
    <w:next w:val="Standard"/>
    <w:qFormat/>
    <w:rsid w:val="00530DBA"/>
    <w:pPr>
      <w:numPr>
        <w:ilvl w:val="4"/>
      </w:numPr>
      <w:ind w:left="1304" w:hanging="1304"/>
      <w:outlineLvl w:val="4"/>
    </w:pPr>
  </w:style>
  <w:style w:type="paragraph" w:customStyle="1" w:styleId="b6">
    <w:name w:val="Üb 6"/>
    <w:basedOn w:val="b5"/>
    <w:next w:val="Standard"/>
    <w:qFormat/>
    <w:rsid w:val="00530DBA"/>
    <w:pPr>
      <w:numPr>
        <w:ilvl w:val="5"/>
      </w:numPr>
      <w:ind w:left="1559" w:hanging="1559"/>
      <w:outlineLvl w:val="5"/>
    </w:pPr>
  </w:style>
  <w:style w:type="paragraph" w:customStyle="1" w:styleId="AufzhlungBuchstabe">
    <w:name w:val="Aufzählung Buchstabe"/>
    <w:basedOn w:val="b2"/>
    <w:link w:val="AufzhlungBuchstabeZchn"/>
    <w:qFormat/>
    <w:rsid w:val="00530DBA"/>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530DBA"/>
    <w:rPr>
      <w:rFonts w:ascii="Verdana" w:eastAsiaTheme="minorEastAsia" w:hAnsi="Verdana"/>
      <w:sz w:val="20"/>
      <w:lang w:eastAsia="ja-JP"/>
    </w:rPr>
  </w:style>
  <w:style w:type="paragraph" w:customStyle="1" w:styleId="AufzhlungBuchstabeFett">
    <w:name w:val="Aufzählung Buchstabe Fett"/>
    <w:basedOn w:val="AufzhlungBuchstabe"/>
    <w:rsid w:val="00530DBA"/>
    <w:pPr>
      <w:numPr>
        <w:ilvl w:val="8"/>
      </w:numPr>
      <w:tabs>
        <w:tab w:val="num" w:pos="360"/>
      </w:tabs>
    </w:pPr>
    <w:rPr>
      <w:b/>
      <w:bCs/>
    </w:rPr>
  </w:style>
  <w:style w:type="paragraph" w:customStyle="1" w:styleId="AufzhlungBuchstabeKursiv">
    <w:name w:val="Aufzählung Buchstabe Kursiv"/>
    <w:basedOn w:val="AufzhlungBuchstabe"/>
    <w:rsid w:val="00530DBA"/>
    <w:pPr>
      <w:numPr>
        <w:ilvl w:val="7"/>
      </w:numPr>
      <w:tabs>
        <w:tab w:val="num" w:pos="360"/>
      </w:tabs>
    </w:pPr>
    <w:rPr>
      <w:i/>
      <w:iCs/>
    </w:rPr>
  </w:style>
  <w:style w:type="paragraph" w:customStyle="1" w:styleId="Standardklein">
    <w:name w:val="Standard klein"/>
    <w:basedOn w:val="Standard"/>
    <w:link w:val="StandardkleinZchn"/>
    <w:qFormat/>
    <w:rsid w:val="00530DBA"/>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530DBA"/>
    <w:rPr>
      <w:rFonts w:ascii="Verdana" w:eastAsiaTheme="minorEastAsia" w:hAnsi="Verdana"/>
      <w:sz w:val="16"/>
      <w:szCs w:val="16"/>
      <w:lang w:eastAsia="ja-JP"/>
    </w:rPr>
  </w:style>
  <w:style w:type="character" w:customStyle="1" w:styleId="StandardfettnurWort">
    <w:name w:val="Standard fett nur Wort"/>
    <w:basedOn w:val="Absatz-Standardschriftart"/>
    <w:uiPriority w:val="1"/>
    <w:qFormat/>
    <w:rsid w:val="00530DBA"/>
    <w:rPr>
      <w:rFonts w:ascii="Verdana" w:hAnsi="Verdana"/>
      <w:b/>
      <w:sz w:val="20"/>
    </w:rPr>
  </w:style>
  <w:style w:type="table" w:customStyle="1" w:styleId="TabellefrVergabegrundlageKopfzeilegrau">
    <w:name w:val="Tabelle für Vergabegrundlage Kopfzeile grau"/>
    <w:basedOn w:val="NormaleTabelle"/>
    <w:uiPriority w:val="99"/>
    <w:rsid w:val="00530DBA"/>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30DBA"/>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30DBA"/>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30DBA"/>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30DBA"/>
    <w:rPr>
      <w:rFonts w:ascii="Verdana" w:eastAsiaTheme="minorEastAsia" w:hAnsi="Verdana"/>
      <w:sz w:val="18"/>
      <w:szCs w:val="18"/>
      <w:lang w:eastAsia="ja-JP"/>
    </w:rPr>
  </w:style>
  <w:style w:type="character" w:customStyle="1" w:styleId="StandardnurWort">
    <w:name w:val="Standard nur Wort"/>
    <w:basedOn w:val="Absatz-Standardschriftart"/>
    <w:uiPriority w:val="1"/>
    <w:qFormat/>
    <w:rsid w:val="00E815E5"/>
  </w:style>
  <w:style w:type="paragraph" w:customStyle="1" w:styleId="AufzhlungPunkt1">
    <w:name w:val="Aufzählung Punkt 1"/>
    <w:basedOn w:val="Standard"/>
    <w:link w:val="AufzhlungPunkt1Zchn"/>
    <w:qFormat/>
    <w:rsid w:val="00926C8C"/>
    <w:pPr>
      <w:numPr>
        <w:numId w:val="6"/>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926C8C"/>
    <w:rPr>
      <w:rFonts w:ascii="Verdana" w:eastAsiaTheme="minorEastAsia" w:hAnsi="Verdana"/>
      <w:sz w:val="20"/>
      <w:szCs w:val="20"/>
      <w:lang w:eastAsia="ja-JP"/>
    </w:rPr>
  </w:style>
  <w:style w:type="table" w:customStyle="1" w:styleId="Tabellenraster1">
    <w:name w:val="Tabellenraster1"/>
    <w:basedOn w:val="NormaleTabelle"/>
    <w:next w:val="Tabellenraster"/>
    <w:uiPriority w:val="59"/>
    <w:rsid w:val="00066C1C"/>
    <w:pPr>
      <w:spacing w:after="0" w:line="240" w:lineRule="auto"/>
    </w:pPr>
    <w:rPr>
      <w:rFonts w:ascii="DINPro" w:hAnsi="DINP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frVergabegrundlageKopfzeileundersteSpaltegrau">
    <w:name w:val="Tabelle für Vergabegrundlage Kopfzeile und erste Spalte grau"/>
    <w:basedOn w:val="NormaleTabelle"/>
    <w:uiPriority w:val="99"/>
    <w:rsid w:val="009D1F87"/>
    <w:pPr>
      <w:spacing w:after="0" w:line="240" w:lineRule="auto"/>
    </w:pPr>
    <w:rPr>
      <w:rFonts w:ascii="Verdana" w:eastAsiaTheme="minorEastAsi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vAlign w:val="center"/>
    </w:tcPr>
    <w:tblStylePr w:type="firstRow">
      <w:tblPr/>
      <w:tcPr>
        <w:shd w:val="clear" w:color="auto" w:fill="F2F2F2" w:themeFill="background1" w:themeFillShade="F2"/>
      </w:tcPr>
    </w:tblStylePr>
    <w:tblStylePr w:type="firstCol">
      <w:tblPr/>
      <w:tcPr>
        <w:shd w:val="clear" w:color="auto" w:fill="F2F2F2" w:themeFill="background1" w:themeFillShade="F2"/>
      </w:tcPr>
    </w:tblStylePr>
  </w:style>
  <w:style w:type="paragraph" w:styleId="Sprechblasentext">
    <w:name w:val="Balloon Text"/>
    <w:basedOn w:val="Standard"/>
    <w:link w:val="SprechblasentextZchn"/>
    <w:uiPriority w:val="99"/>
    <w:semiHidden/>
    <w:unhideWhenUsed/>
    <w:rsid w:val="001C1B6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C1B64"/>
    <w:rPr>
      <w:rFonts w:ascii="Segoe UI" w:eastAsia="Times New Roman" w:hAnsi="Segoe UI" w:cs="Segoe UI"/>
      <w:color w:val="000000"/>
      <w:sz w:val="18"/>
      <w:szCs w:val="18"/>
      <w:lang w:eastAsia="de-DE"/>
    </w:rPr>
  </w:style>
  <w:style w:type="character" w:styleId="NichtaufgelsteErwhnung">
    <w:name w:val="Unresolved Mention"/>
    <w:basedOn w:val="Absatz-Standardschriftart"/>
    <w:uiPriority w:val="99"/>
    <w:semiHidden/>
    <w:unhideWhenUsed/>
    <w:rsid w:val="002676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3428">
      <w:bodyDiv w:val="1"/>
      <w:marLeft w:val="0"/>
      <w:marRight w:val="0"/>
      <w:marTop w:val="0"/>
      <w:marBottom w:val="0"/>
      <w:divBdr>
        <w:top w:val="none" w:sz="0" w:space="0" w:color="auto"/>
        <w:left w:val="none" w:sz="0" w:space="0" w:color="auto"/>
        <w:bottom w:val="none" w:sz="0" w:space="0" w:color="auto"/>
        <w:right w:val="none" w:sz="0" w:space="0" w:color="auto"/>
      </w:divBdr>
    </w:div>
    <w:div w:id="28772910">
      <w:bodyDiv w:val="1"/>
      <w:marLeft w:val="0"/>
      <w:marRight w:val="0"/>
      <w:marTop w:val="0"/>
      <w:marBottom w:val="0"/>
      <w:divBdr>
        <w:top w:val="none" w:sz="0" w:space="0" w:color="auto"/>
        <w:left w:val="none" w:sz="0" w:space="0" w:color="auto"/>
        <w:bottom w:val="none" w:sz="0" w:space="0" w:color="auto"/>
        <w:right w:val="none" w:sz="0" w:space="0" w:color="auto"/>
      </w:divBdr>
    </w:div>
    <w:div w:id="253168797">
      <w:bodyDiv w:val="1"/>
      <w:marLeft w:val="0"/>
      <w:marRight w:val="0"/>
      <w:marTop w:val="0"/>
      <w:marBottom w:val="0"/>
      <w:divBdr>
        <w:top w:val="none" w:sz="0" w:space="0" w:color="auto"/>
        <w:left w:val="none" w:sz="0" w:space="0" w:color="auto"/>
        <w:bottom w:val="none" w:sz="0" w:space="0" w:color="auto"/>
        <w:right w:val="none" w:sz="0" w:space="0" w:color="auto"/>
      </w:divBdr>
    </w:div>
    <w:div w:id="423959521">
      <w:bodyDiv w:val="1"/>
      <w:marLeft w:val="0"/>
      <w:marRight w:val="0"/>
      <w:marTop w:val="0"/>
      <w:marBottom w:val="0"/>
      <w:divBdr>
        <w:top w:val="none" w:sz="0" w:space="0" w:color="auto"/>
        <w:left w:val="none" w:sz="0" w:space="0" w:color="auto"/>
        <w:bottom w:val="none" w:sz="0" w:space="0" w:color="auto"/>
        <w:right w:val="none" w:sz="0" w:space="0" w:color="auto"/>
      </w:divBdr>
    </w:div>
    <w:div w:id="490147479">
      <w:bodyDiv w:val="1"/>
      <w:marLeft w:val="0"/>
      <w:marRight w:val="0"/>
      <w:marTop w:val="0"/>
      <w:marBottom w:val="0"/>
      <w:divBdr>
        <w:top w:val="none" w:sz="0" w:space="0" w:color="auto"/>
        <w:left w:val="none" w:sz="0" w:space="0" w:color="auto"/>
        <w:bottom w:val="none" w:sz="0" w:space="0" w:color="auto"/>
        <w:right w:val="none" w:sz="0" w:space="0" w:color="auto"/>
      </w:divBdr>
    </w:div>
    <w:div w:id="514148143">
      <w:bodyDiv w:val="1"/>
      <w:marLeft w:val="0"/>
      <w:marRight w:val="0"/>
      <w:marTop w:val="0"/>
      <w:marBottom w:val="0"/>
      <w:divBdr>
        <w:top w:val="none" w:sz="0" w:space="0" w:color="auto"/>
        <w:left w:val="none" w:sz="0" w:space="0" w:color="auto"/>
        <w:bottom w:val="none" w:sz="0" w:space="0" w:color="auto"/>
        <w:right w:val="none" w:sz="0" w:space="0" w:color="auto"/>
      </w:divBdr>
    </w:div>
    <w:div w:id="529227086">
      <w:bodyDiv w:val="1"/>
      <w:marLeft w:val="0"/>
      <w:marRight w:val="0"/>
      <w:marTop w:val="0"/>
      <w:marBottom w:val="0"/>
      <w:divBdr>
        <w:top w:val="none" w:sz="0" w:space="0" w:color="auto"/>
        <w:left w:val="none" w:sz="0" w:space="0" w:color="auto"/>
        <w:bottom w:val="none" w:sz="0" w:space="0" w:color="auto"/>
        <w:right w:val="none" w:sz="0" w:space="0" w:color="auto"/>
      </w:divBdr>
    </w:div>
    <w:div w:id="587614131">
      <w:bodyDiv w:val="1"/>
      <w:marLeft w:val="0"/>
      <w:marRight w:val="0"/>
      <w:marTop w:val="0"/>
      <w:marBottom w:val="0"/>
      <w:divBdr>
        <w:top w:val="none" w:sz="0" w:space="0" w:color="auto"/>
        <w:left w:val="none" w:sz="0" w:space="0" w:color="auto"/>
        <w:bottom w:val="none" w:sz="0" w:space="0" w:color="auto"/>
        <w:right w:val="none" w:sz="0" w:space="0" w:color="auto"/>
      </w:divBdr>
    </w:div>
    <w:div w:id="634677075">
      <w:bodyDiv w:val="1"/>
      <w:marLeft w:val="0"/>
      <w:marRight w:val="0"/>
      <w:marTop w:val="0"/>
      <w:marBottom w:val="0"/>
      <w:divBdr>
        <w:top w:val="none" w:sz="0" w:space="0" w:color="auto"/>
        <w:left w:val="none" w:sz="0" w:space="0" w:color="auto"/>
        <w:bottom w:val="none" w:sz="0" w:space="0" w:color="auto"/>
        <w:right w:val="none" w:sz="0" w:space="0" w:color="auto"/>
      </w:divBdr>
    </w:div>
    <w:div w:id="684787993">
      <w:bodyDiv w:val="1"/>
      <w:marLeft w:val="0"/>
      <w:marRight w:val="0"/>
      <w:marTop w:val="0"/>
      <w:marBottom w:val="0"/>
      <w:divBdr>
        <w:top w:val="none" w:sz="0" w:space="0" w:color="auto"/>
        <w:left w:val="none" w:sz="0" w:space="0" w:color="auto"/>
        <w:bottom w:val="none" w:sz="0" w:space="0" w:color="auto"/>
        <w:right w:val="none" w:sz="0" w:space="0" w:color="auto"/>
      </w:divBdr>
    </w:div>
    <w:div w:id="690955563">
      <w:bodyDiv w:val="1"/>
      <w:marLeft w:val="0"/>
      <w:marRight w:val="0"/>
      <w:marTop w:val="0"/>
      <w:marBottom w:val="0"/>
      <w:divBdr>
        <w:top w:val="none" w:sz="0" w:space="0" w:color="auto"/>
        <w:left w:val="none" w:sz="0" w:space="0" w:color="auto"/>
        <w:bottom w:val="none" w:sz="0" w:space="0" w:color="auto"/>
        <w:right w:val="none" w:sz="0" w:space="0" w:color="auto"/>
      </w:divBdr>
    </w:div>
    <w:div w:id="752971345">
      <w:bodyDiv w:val="1"/>
      <w:marLeft w:val="0"/>
      <w:marRight w:val="0"/>
      <w:marTop w:val="0"/>
      <w:marBottom w:val="0"/>
      <w:divBdr>
        <w:top w:val="none" w:sz="0" w:space="0" w:color="auto"/>
        <w:left w:val="none" w:sz="0" w:space="0" w:color="auto"/>
        <w:bottom w:val="none" w:sz="0" w:space="0" w:color="auto"/>
        <w:right w:val="none" w:sz="0" w:space="0" w:color="auto"/>
      </w:divBdr>
    </w:div>
    <w:div w:id="804935986">
      <w:bodyDiv w:val="1"/>
      <w:marLeft w:val="0"/>
      <w:marRight w:val="0"/>
      <w:marTop w:val="0"/>
      <w:marBottom w:val="0"/>
      <w:divBdr>
        <w:top w:val="none" w:sz="0" w:space="0" w:color="auto"/>
        <w:left w:val="none" w:sz="0" w:space="0" w:color="auto"/>
        <w:bottom w:val="none" w:sz="0" w:space="0" w:color="auto"/>
        <w:right w:val="none" w:sz="0" w:space="0" w:color="auto"/>
      </w:divBdr>
    </w:div>
    <w:div w:id="893465081">
      <w:bodyDiv w:val="1"/>
      <w:marLeft w:val="0"/>
      <w:marRight w:val="0"/>
      <w:marTop w:val="0"/>
      <w:marBottom w:val="0"/>
      <w:divBdr>
        <w:top w:val="none" w:sz="0" w:space="0" w:color="auto"/>
        <w:left w:val="none" w:sz="0" w:space="0" w:color="auto"/>
        <w:bottom w:val="none" w:sz="0" w:space="0" w:color="auto"/>
        <w:right w:val="none" w:sz="0" w:space="0" w:color="auto"/>
      </w:divBdr>
    </w:div>
    <w:div w:id="925571273">
      <w:bodyDiv w:val="1"/>
      <w:marLeft w:val="0"/>
      <w:marRight w:val="0"/>
      <w:marTop w:val="0"/>
      <w:marBottom w:val="0"/>
      <w:divBdr>
        <w:top w:val="none" w:sz="0" w:space="0" w:color="auto"/>
        <w:left w:val="none" w:sz="0" w:space="0" w:color="auto"/>
        <w:bottom w:val="none" w:sz="0" w:space="0" w:color="auto"/>
        <w:right w:val="none" w:sz="0" w:space="0" w:color="auto"/>
      </w:divBdr>
    </w:div>
    <w:div w:id="953443934">
      <w:bodyDiv w:val="1"/>
      <w:marLeft w:val="0"/>
      <w:marRight w:val="0"/>
      <w:marTop w:val="0"/>
      <w:marBottom w:val="0"/>
      <w:divBdr>
        <w:top w:val="none" w:sz="0" w:space="0" w:color="auto"/>
        <w:left w:val="none" w:sz="0" w:space="0" w:color="auto"/>
        <w:bottom w:val="none" w:sz="0" w:space="0" w:color="auto"/>
        <w:right w:val="none" w:sz="0" w:space="0" w:color="auto"/>
      </w:divBdr>
    </w:div>
    <w:div w:id="976955091">
      <w:bodyDiv w:val="1"/>
      <w:marLeft w:val="0"/>
      <w:marRight w:val="0"/>
      <w:marTop w:val="0"/>
      <w:marBottom w:val="0"/>
      <w:divBdr>
        <w:top w:val="none" w:sz="0" w:space="0" w:color="auto"/>
        <w:left w:val="none" w:sz="0" w:space="0" w:color="auto"/>
        <w:bottom w:val="none" w:sz="0" w:space="0" w:color="auto"/>
        <w:right w:val="none" w:sz="0" w:space="0" w:color="auto"/>
      </w:divBdr>
    </w:div>
    <w:div w:id="983002966">
      <w:bodyDiv w:val="1"/>
      <w:marLeft w:val="0"/>
      <w:marRight w:val="0"/>
      <w:marTop w:val="0"/>
      <w:marBottom w:val="0"/>
      <w:divBdr>
        <w:top w:val="none" w:sz="0" w:space="0" w:color="auto"/>
        <w:left w:val="none" w:sz="0" w:space="0" w:color="auto"/>
        <w:bottom w:val="none" w:sz="0" w:space="0" w:color="auto"/>
        <w:right w:val="none" w:sz="0" w:space="0" w:color="auto"/>
      </w:divBdr>
    </w:div>
    <w:div w:id="1061368933">
      <w:bodyDiv w:val="1"/>
      <w:marLeft w:val="0"/>
      <w:marRight w:val="0"/>
      <w:marTop w:val="0"/>
      <w:marBottom w:val="0"/>
      <w:divBdr>
        <w:top w:val="none" w:sz="0" w:space="0" w:color="auto"/>
        <w:left w:val="none" w:sz="0" w:space="0" w:color="auto"/>
        <w:bottom w:val="none" w:sz="0" w:space="0" w:color="auto"/>
        <w:right w:val="none" w:sz="0" w:space="0" w:color="auto"/>
      </w:divBdr>
    </w:div>
    <w:div w:id="1102604031">
      <w:bodyDiv w:val="1"/>
      <w:marLeft w:val="0"/>
      <w:marRight w:val="0"/>
      <w:marTop w:val="0"/>
      <w:marBottom w:val="0"/>
      <w:divBdr>
        <w:top w:val="none" w:sz="0" w:space="0" w:color="auto"/>
        <w:left w:val="none" w:sz="0" w:space="0" w:color="auto"/>
        <w:bottom w:val="none" w:sz="0" w:space="0" w:color="auto"/>
        <w:right w:val="none" w:sz="0" w:space="0" w:color="auto"/>
      </w:divBdr>
    </w:div>
    <w:div w:id="1270352897">
      <w:bodyDiv w:val="1"/>
      <w:marLeft w:val="0"/>
      <w:marRight w:val="0"/>
      <w:marTop w:val="0"/>
      <w:marBottom w:val="0"/>
      <w:divBdr>
        <w:top w:val="none" w:sz="0" w:space="0" w:color="auto"/>
        <w:left w:val="none" w:sz="0" w:space="0" w:color="auto"/>
        <w:bottom w:val="none" w:sz="0" w:space="0" w:color="auto"/>
        <w:right w:val="none" w:sz="0" w:space="0" w:color="auto"/>
      </w:divBdr>
    </w:div>
    <w:div w:id="1288124511">
      <w:bodyDiv w:val="1"/>
      <w:marLeft w:val="0"/>
      <w:marRight w:val="0"/>
      <w:marTop w:val="0"/>
      <w:marBottom w:val="0"/>
      <w:divBdr>
        <w:top w:val="none" w:sz="0" w:space="0" w:color="auto"/>
        <w:left w:val="none" w:sz="0" w:space="0" w:color="auto"/>
        <w:bottom w:val="none" w:sz="0" w:space="0" w:color="auto"/>
        <w:right w:val="none" w:sz="0" w:space="0" w:color="auto"/>
      </w:divBdr>
    </w:div>
    <w:div w:id="1375083095">
      <w:bodyDiv w:val="1"/>
      <w:marLeft w:val="0"/>
      <w:marRight w:val="0"/>
      <w:marTop w:val="0"/>
      <w:marBottom w:val="0"/>
      <w:divBdr>
        <w:top w:val="none" w:sz="0" w:space="0" w:color="auto"/>
        <w:left w:val="none" w:sz="0" w:space="0" w:color="auto"/>
        <w:bottom w:val="none" w:sz="0" w:space="0" w:color="auto"/>
        <w:right w:val="none" w:sz="0" w:space="0" w:color="auto"/>
      </w:divBdr>
    </w:div>
    <w:div w:id="1509559958">
      <w:bodyDiv w:val="1"/>
      <w:marLeft w:val="0"/>
      <w:marRight w:val="0"/>
      <w:marTop w:val="0"/>
      <w:marBottom w:val="0"/>
      <w:divBdr>
        <w:top w:val="none" w:sz="0" w:space="0" w:color="auto"/>
        <w:left w:val="none" w:sz="0" w:space="0" w:color="auto"/>
        <w:bottom w:val="none" w:sz="0" w:space="0" w:color="auto"/>
        <w:right w:val="none" w:sz="0" w:space="0" w:color="auto"/>
      </w:divBdr>
    </w:div>
    <w:div w:id="1546719863">
      <w:bodyDiv w:val="1"/>
      <w:marLeft w:val="0"/>
      <w:marRight w:val="0"/>
      <w:marTop w:val="0"/>
      <w:marBottom w:val="0"/>
      <w:divBdr>
        <w:top w:val="none" w:sz="0" w:space="0" w:color="auto"/>
        <w:left w:val="none" w:sz="0" w:space="0" w:color="auto"/>
        <w:bottom w:val="none" w:sz="0" w:space="0" w:color="auto"/>
        <w:right w:val="none" w:sz="0" w:space="0" w:color="auto"/>
      </w:divBdr>
    </w:div>
    <w:div w:id="1629627596">
      <w:bodyDiv w:val="1"/>
      <w:marLeft w:val="0"/>
      <w:marRight w:val="0"/>
      <w:marTop w:val="0"/>
      <w:marBottom w:val="0"/>
      <w:divBdr>
        <w:top w:val="none" w:sz="0" w:space="0" w:color="auto"/>
        <w:left w:val="none" w:sz="0" w:space="0" w:color="auto"/>
        <w:bottom w:val="none" w:sz="0" w:space="0" w:color="auto"/>
        <w:right w:val="none" w:sz="0" w:space="0" w:color="auto"/>
      </w:divBdr>
    </w:div>
    <w:div w:id="1790473756">
      <w:bodyDiv w:val="1"/>
      <w:marLeft w:val="0"/>
      <w:marRight w:val="0"/>
      <w:marTop w:val="0"/>
      <w:marBottom w:val="0"/>
      <w:divBdr>
        <w:top w:val="none" w:sz="0" w:space="0" w:color="auto"/>
        <w:left w:val="none" w:sz="0" w:space="0" w:color="auto"/>
        <w:bottom w:val="none" w:sz="0" w:space="0" w:color="auto"/>
        <w:right w:val="none" w:sz="0" w:space="0" w:color="auto"/>
      </w:divBdr>
    </w:div>
    <w:div w:id="1807507788">
      <w:bodyDiv w:val="1"/>
      <w:marLeft w:val="0"/>
      <w:marRight w:val="0"/>
      <w:marTop w:val="0"/>
      <w:marBottom w:val="0"/>
      <w:divBdr>
        <w:top w:val="none" w:sz="0" w:space="0" w:color="auto"/>
        <w:left w:val="none" w:sz="0" w:space="0" w:color="auto"/>
        <w:bottom w:val="none" w:sz="0" w:space="0" w:color="auto"/>
        <w:right w:val="none" w:sz="0" w:space="0" w:color="auto"/>
      </w:divBdr>
    </w:div>
    <w:div w:id="1992371713">
      <w:bodyDiv w:val="1"/>
      <w:marLeft w:val="0"/>
      <w:marRight w:val="0"/>
      <w:marTop w:val="0"/>
      <w:marBottom w:val="0"/>
      <w:divBdr>
        <w:top w:val="none" w:sz="0" w:space="0" w:color="auto"/>
        <w:left w:val="none" w:sz="0" w:space="0" w:color="auto"/>
        <w:bottom w:val="none" w:sz="0" w:space="0" w:color="auto"/>
        <w:right w:val="none" w:sz="0" w:space="0" w:color="auto"/>
      </w:divBdr>
    </w:div>
    <w:div w:id="2024083810">
      <w:bodyDiv w:val="1"/>
      <w:marLeft w:val="0"/>
      <w:marRight w:val="0"/>
      <w:marTop w:val="0"/>
      <w:marBottom w:val="0"/>
      <w:divBdr>
        <w:top w:val="none" w:sz="0" w:space="0" w:color="auto"/>
        <w:left w:val="none" w:sz="0" w:space="0" w:color="auto"/>
        <w:bottom w:val="none" w:sz="0" w:space="0" w:color="auto"/>
        <w:right w:val="none" w:sz="0" w:space="0" w:color="auto"/>
      </w:divBdr>
    </w:div>
    <w:div w:id="2115860551">
      <w:bodyDiv w:val="1"/>
      <w:marLeft w:val="0"/>
      <w:marRight w:val="0"/>
      <w:marTop w:val="0"/>
      <w:marBottom w:val="0"/>
      <w:divBdr>
        <w:top w:val="none" w:sz="0" w:space="0" w:color="auto"/>
        <w:left w:val="none" w:sz="0" w:space="0" w:color="auto"/>
        <w:bottom w:val="none" w:sz="0" w:space="0" w:color="auto"/>
        <w:right w:val="none" w:sz="0" w:space="0" w:color="auto"/>
      </w:divBdr>
    </w:div>
    <w:div w:id="2134471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3B118-5876-4977-8756-3CBF1E463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1170</Words>
  <Characters>7373</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8526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8</cp:revision>
  <cp:lastPrinted>2022-03-08T11:06:00Z</cp:lastPrinted>
  <dcterms:created xsi:type="dcterms:W3CDTF">2025-03-13T06:48:00Z</dcterms:created>
  <dcterms:modified xsi:type="dcterms:W3CDTF">2025-06-05T13:07:00Z</dcterms:modified>
</cp:coreProperties>
</file>